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Calibri" w:cs="Calibri" w:eastAsia="Calibri" w:hAnsi="Calibri"/>
          <w:b w:val="false"/>
          <w:bCs w:val="false"/>
          <w:i w:val="false"/>
          <w:iCs w:val="false"/>
          <w:color w:val="2C3E50"/>
          <w:sz w:val="22"/>
          <w:szCs w:val="22"/>
        </w:rPr>
        <w:t xml:space="preserve"/>
      </w:r>
    </w:p>
    <w:p>
      <w:pPr>
        <w:spacing w:after="60" w:before="0"/>
        <w:jc w:val="center"/>
      </w:pPr>
      <w:r>
        <w:rPr>
          <w:rFonts w:ascii="Calibri" w:cs="Calibri" w:eastAsia="Calibri" w:hAnsi="Calibri"/>
          <w:b/>
          <w:bCs/>
          <w:i w:val="false"/>
          <w:iCs w:val="false"/>
          <w:color w:val="5A6C7D"/>
          <w:sz w:val="18"/>
          <w:szCs w:val="18"/>
        </w:rPr>
        <w:t xml:space="preserve">SEER GLOBAL SOLUTIONS LIMITED</w:t>
      </w:r>
    </w:p>
    <w:p>
      <w:pPr>
        <w:spacing w:after="800" w:before="0"/>
        <w:jc w:val="center"/>
      </w:pPr>
      <w:r>
        <w:rPr>
          <w:rFonts w:ascii="Calibri" w:cs="Calibri" w:eastAsia="Calibri" w:hAnsi="Calibri"/>
          <w:b w:val="false"/>
          <w:bCs w:val="false"/>
          <w:i/>
          <w:iCs/>
          <w:color w:val="5A6C7D"/>
          <w:sz w:val="20"/>
          <w:szCs w:val="20"/>
        </w:rPr>
        <w:t xml:space="preserve">Website Copy &amp; Information Architecture</w:t>
      </w:r>
    </w:p>
    <w:p>
      <w:pPr>
        <w:spacing w:after="0" w:before="0"/>
        <w:jc w:val="center"/>
      </w:pPr>
      <w:r>
        <w:rPr>
          <w:rFonts w:ascii="Calibri" w:cs="Calibri" w:eastAsia="Calibri" w:hAnsi="Calibri"/>
          <w:b/>
          <w:bCs/>
          <w:i w:val="false"/>
          <w:iCs w:val="false"/>
          <w:color w:val="0F3D47"/>
          <w:sz w:val="64"/>
          <w:szCs w:val="64"/>
        </w:rPr>
        <w:t xml:space="preserve">Kirkland Specialty</w:t>
      </w:r>
    </w:p>
    <w:p>
      <w:pPr>
        <w:spacing w:after="400" w:before="0"/>
        <w:jc w:val="center"/>
      </w:pPr>
      <w:r>
        <w:rPr>
          <w:rFonts w:ascii="Calibri" w:cs="Calibri" w:eastAsia="Calibri" w:hAnsi="Calibri"/>
          <w:b/>
          <w:bCs/>
          <w:i w:val="false"/>
          <w:iCs w:val="false"/>
          <w:color w:val="1A6F73"/>
          <w:sz w:val="64"/>
          <w:szCs w:val="64"/>
        </w:rPr>
        <w:t xml:space="preserve">Infusion Center</w:t>
      </w:r>
    </w:p>
    <w:p>
      <w:pPr>
        <w:spacing w:after="600" w:before="0"/>
        <w:jc w:val="center"/>
      </w:pPr>
      <w:r>
        <w:rPr>
          <w:rFonts w:ascii="Calibri" w:cs="Calibri" w:eastAsia="Calibri" w:hAnsi="Calibri"/>
          <w:b/>
          <w:bCs/>
          <w:i w:val="false"/>
          <w:iCs w:val="false"/>
          <w:color w:val="5A6C7D"/>
          <w:sz w:val="20"/>
          <w:szCs w:val="20"/>
        </w:rPr>
        <w:t xml:space="preserve">K I R K L A N D ,  W A S H I N G T O N</w:t>
      </w:r>
    </w:p>
    <w:p>
      <w:pPr>
        <w:spacing w:after="600" w:before="0"/>
        <w:jc w:val="center"/>
      </w:pPr>
      <w:r>
        <w:rPr>
          <w:rFonts w:ascii="Calibri" w:cs="Calibri" w:eastAsia="Calibri" w:hAnsi="Calibri"/>
          <w:b/>
          <w:bCs/>
          <w:i/>
          <w:iCs/>
          <w:color w:val="1A6F73"/>
          <w:sz w:val="30"/>
          <w:szCs w:val="30"/>
        </w:rPr>
        <w:t xml:space="preserve">Your Patient. Our Priority. Every Time.</w:t>
      </w:r>
    </w:p>
    <w:p>
      <w:pPr>
        <w:spacing w:after="80" w:before="0"/>
        <w:jc w:val="center"/>
      </w:pPr>
      <w:r>
        <w:rPr>
          <w:rFonts w:ascii="Calibri" w:cs="Calibri" w:eastAsia="Calibri" w:hAnsi="Calibri"/>
          <w:b/>
          <w:bCs/>
          <w:i w:val="false"/>
          <w:iCs w:val="false"/>
          <w:color w:val="0F3D47"/>
          <w:sz w:val="26"/>
          <w:szCs w:val="26"/>
        </w:rPr>
        <w:t xml:space="preserve">Complete Website Copy</w:t>
      </w:r>
    </w:p>
    <w:p>
      <w:pPr>
        <w:spacing w:after="600" w:before="0"/>
        <w:jc w:val="center"/>
      </w:pPr>
      <w:r>
        <w:rPr>
          <w:rFonts w:ascii="Calibri" w:cs="Calibri" w:eastAsia="Calibri" w:hAnsi="Calibri"/>
          <w:b w:val="false"/>
          <w:bCs w:val="false"/>
          <w:i w:val="false"/>
          <w:iCs w:val="false"/>
          <w:color w:val="2C3E50"/>
          <w:sz w:val="22"/>
          <w:szCs w:val="22"/>
        </w:rPr>
        <w:t xml:space="preserve">Affiliated with Evergreen Rheumatology</w:t>
      </w:r>
    </w:p>
    <w:p>
      <w:pPr>
        <w:spacing w:after="60" w:before="0"/>
        <w:jc w:val="center"/>
      </w:pPr>
      <w:r>
        <w:rPr>
          <w:rFonts w:ascii="Calibri" w:cs="Calibri" w:eastAsia="Calibri" w:hAnsi="Calibri"/>
          <w:b w:val="false"/>
          <w:bCs w:val="false"/>
          <w:i w:val="false"/>
          <w:iCs w:val="false"/>
          <w:color w:val="2C3E50"/>
          <w:sz w:val="22"/>
          <w:szCs w:val="22"/>
        </w:rPr>
        <w:t xml:space="preserve">Prepared for: Arinola Dada, MD</w:t>
      </w:r>
    </w:p>
    <w:p>
      <w:pPr>
        <w:spacing w:after="60" w:before="0"/>
        <w:jc w:val="center"/>
      </w:pPr>
      <w:r>
        <w:rPr>
          <w:rFonts w:ascii="Calibri" w:cs="Calibri" w:eastAsia="Calibri" w:hAnsi="Calibri"/>
          <w:b w:val="false"/>
          <w:bCs w:val="false"/>
          <w:i w:val="false"/>
          <w:iCs w:val="false"/>
          <w:color w:val="2C3E50"/>
          <w:sz w:val="22"/>
          <w:szCs w:val="22"/>
        </w:rPr>
        <w:t xml:space="preserve">Prepared by: Seer Global Solutions Limited</w:t>
      </w:r>
    </w:p>
    <w:p>
      <w:pPr>
        <w:spacing w:after="60" w:before="0"/>
        <w:jc w:val="center"/>
      </w:pPr>
      <w:r>
        <w:rPr>
          <w:rFonts w:ascii="Calibri" w:cs="Calibri" w:eastAsia="Calibri" w:hAnsi="Calibri"/>
          <w:b w:val="false"/>
          <w:bCs w:val="false"/>
          <w:i w:val="false"/>
          <w:iCs w:val="false"/>
          <w:color w:val="2C3E50"/>
          <w:sz w:val="22"/>
          <w:szCs w:val="22"/>
        </w:rPr>
        <w:t xml:space="preserve">Project Lead: Ewaen Okao, MD — CEO</w:t>
      </w:r>
    </w:p>
    <w:p>
      <w:pPr>
        <w:spacing w:after="0" w:before="0"/>
        <w:jc w:val="center"/>
      </w:pPr>
      <w:r>
        <w:rPr>
          <w:rFonts w:ascii="Calibri" w:cs="Calibri" w:eastAsia="Calibri" w:hAnsi="Calibri"/>
          <w:b w:val="false"/>
          <w:bCs w:val="false"/>
          <w:i w:val="false"/>
          <w:iCs w:val="false"/>
          <w:color w:val="2C3E50"/>
          <w:sz w:val="22"/>
          <w:szCs w:val="22"/>
        </w:rPr>
        <w:t xml:space="preserve">Date: May 2026</w:t>
      </w:r>
    </w:p>
    <w:p>
      <w:r>
        <w:br w:type="page"/>
      </w:r>
    </w:p>
    <w:p>
      <w:pPr>
        <w:spacing w:after="120" w:before="360"/>
      </w:pPr>
      <w:r>
        <w:rPr>
          <w:rFonts w:ascii="Calibri" w:cs="Calibri" w:eastAsia="Calibri" w:hAnsi="Calibri"/>
          <w:b/>
          <w:bCs/>
          <w:i w:val="false"/>
          <w:iCs w:val="false"/>
          <w:color w:val="0F3D47"/>
          <w:sz w:val="36"/>
          <w:szCs w:val="36"/>
        </w:rPr>
        <w:t xml:space="preserve">Design &amp; Brand Guidance</w:t>
      </w:r>
    </w:p>
    <w:p>
      <w:pPr>
        <w:spacing w:after="240" w:before="0"/>
      </w:pPr>
      <w:r>
        <w:rPr>
          <w:rFonts w:ascii="Calibri" w:cs="Calibri" w:eastAsia="Calibri" w:hAnsi="Calibri"/>
          <w:b w:val="false"/>
          <w:bCs w:val="false"/>
          <w:i/>
          <w:iCs/>
          <w:color w:val="1A6F73"/>
          <w:sz w:val="24"/>
          <w:szCs w:val="24"/>
        </w:rPr>
        <w:t xml:space="preserve">Tone, voice, and visual direction</w:t>
      </w:r>
    </w:p>
    <w:p>
      <w:pPr>
        <w:spacing w:after="80" w:before="320"/>
      </w:pPr>
      <w:r>
        <w:rPr>
          <w:rFonts w:ascii="Calibri" w:cs="Calibri" w:eastAsia="Calibri" w:hAnsi="Calibri"/>
          <w:b/>
          <w:bCs/>
          <w:i w:val="false"/>
          <w:iCs w:val="false"/>
          <w:color w:val="1A6F73"/>
          <w:sz w:val="18"/>
          <w:szCs w:val="18"/>
        </w:rPr>
        <w:t xml:space="preserve">BRAND PROMISE</w:t>
      </w:r>
    </w:p>
    <w:p>
      <w:pPr>
        <w:spacing w:after="160" w:before="80" w:line="340"/>
        <w:jc w:val="left"/>
      </w:pPr>
      <w:r>
        <w:rPr>
          <w:rFonts w:ascii="Calibri" w:cs="Calibri" w:eastAsia="Calibri" w:hAnsi="Calibri"/>
          <w:b w:val="false"/>
          <w:bCs w:val="false"/>
          <w:i w:val="false"/>
          <w:iCs w:val="false"/>
          <w:color w:val="2C3E50"/>
          <w:sz w:val="24"/>
          <w:szCs w:val="24"/>
        </w:rPr>
        <w:t xml:space="preserve">Kirkland Specialty Infusion Center is the infusion partner referring physicians and their patients deserve. Physician-supervised. Financially advocated. Seamlessly coordinated. Every infusion. Every patient. Every time.</w:t>
      </w:r>
    </w:p>
    <w:p>
      <w:pPr>
        <w:spacing w:after="80" w:before="320"/>
      </w:pPr>
      <w:r>
        <w:rPr>
          <w:rFonts w:ascii="Calibri" w:cs="Calibri" w:eastAsia="Calibri" w:hAnsi="Calibri"/>
          <w:b/>
          <w:bCs/>
          <w:i w:val="false"/>
          <w:iCs w:val="false"/>
          <w:color w:val="1A6F73"/>
          <w:sz w:val="18"/>
          <w:szCs w:val="18"/>
        </w:rPr>
        <w:t xml:space="preserve">VOICE &amp; TONE</w:t>
      </w:r>
    </w:p>
    <w:p>
      <w:pPr>
        <w:spacing w:after="80" w:before="80" w:line="320"/>
        <w:jc w:val="left"/>
      </w:pPr>
      <w:r>
        <w:rPr>
          <w:rFonts w:ascii="Calibri" w:cs="Calibri" w:eastAsia="Calibri" w:hAnsi="Calibri"/>
          <w:b w:val="false"/>
          <w:bCs w:val="false"/>
          <w:i w:val="false"/>
          <w:iCs w:val="false"/>
          <w:color w:val="2C3E50"/>
          <w:sz w:val="22"/>
          <w:szCs w:val="22"/>
        </w:rPr>
        <w:t xml:space="preserve">Confident, warm, and dignified. The voice is that of a senior clinician speaking to peers and to patients with equal respect. It honors the seriousness of chronic illness without dwelling on it, and it consistently returns to a message of capability and hope: with the right treatment, life can stay close to normal — and often becomes better than the patient expected.</w:t>
      </w:r>
    </w:p>
    <w:p>
      <w:pPr>
        <w:spacing w:after="80" w:before="80" w:line="320"/>
        <w:jc w:val="left"/>
      </w:pPr>
      <w:r>
        <w:rPr>
          <w:rFonts w:ascii="Calibri" w:cs="Calibri" w:eastAsia="Calibri" w:hAnsi="Calibri"/>
          <w:b w:val="false"/>
          <w:bCs w:val="false"/>
          <w:i w:val="false"/>
          <w:iCs w:val="false"/>
          <w:color w:val="2C3E50"/>
          <w:sz w:val="22"/>
          <w:szCs w:val="22"/>
        </w:rPr>
        <w:t xml:space="preserve">Avoid clinical detachment. Avoid sales bravado. Speak as a trusted neighbor who happens to have run one of the most respected rheumatology practices in the Pacific Northwest for two decades.</w:t>
      </w:r>
    </w:p>
    <w:p>
      <w:pPr>
        <w:spacing w:after="80" w:before="320"/>
      </w:pPr>
      <w:r>
        <w:rPr>
          <w:rFonts w:ascii="Calibri" w:cs="Calibri" w:eastAsia="Calibri" w:hAnsi="Calibri"/>
          <w:b/>
          <w:bCs/>
          <w:i w:val="false"/>
          <w:iCs w:val="false"/>
          <w:color w:val="1A6F73"/>
          <w:sz w:val="18"/>
          <w:szCs w:val="18"/>
        </w:rPr>
        <w:t xml:space="preserve">VISUAL DIRECTION</w:t>
      </w:r>
    </w:p>
    <w:p>
      <w:pPr>
        <w:spacing w:after="80" w:before="80" w:line="320"/>
        <w:jc w:val="left"/>
      </w:pPr>
      <w:r>
        <w:rPr>
          <w:rFonts w:ascii="Calibri" w:cs="Calibri" w:eastAsia="Calibri" w:hAnsi="Calibri"/>
          <w:b w:val="false"/>
          <w:bCs w:val="false"/>
          <w:i w:val="false"/>
          <w:iCs w:val="false"/>
          <w:color w:val="2C3E50"/>
          <w:sz w:val="22"/>
          <w:szCs w:val="22"/>
        </w:rPr>
        <w:t xml:space="preserve">The website should mirror the established Lakeside Research aesthetic with adjustments for the Kirkland brand: a deep teal primary (#1A6F73), a softer teal accent (#4A9B8C), warm coral highlights for calls-to-action (#E07A3D), and a dark navy-teal for headlines (#0F3D47). Photography should depict real patients living full lives — gardening, working, traveling, playing with grandchildren — alongside a small number of warm, well-lit clinical photographs showing infusion chairs, staff, and the physical space. The visual message: serious medicine, gentle hands, full lives.</w:t>
      </w:r>
    </w:p>
    <w:p>
      <w:pPr>
        <w:spacing w:after="80" w:before="320"/>
      </w:pPr>
      <w:r>
        <w:rPr>
          <w:rFonts w:ascii="Calibri" w:cs="Calibri" w:eastAsia="Calibri" w:hAnsi="Calibri"/>
          <w:b/>
          <w:bCs/>
          <w:i w:val="false"/>
          <w:iCs w:val="false"/>
          <w:color w:val="1A6F73"/>
          <w:sz w:val="18"/>
          <w:szCs w:val="18"/>
        </w:rPr>
        <w:t xml:space="preserve">SITE MAP</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Home</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About Us (Our Story, Why Physician Supervision Matters, Our Team)</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Specialties Served</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Medications &amp; Therapies (Specialty Formulary, Cash-Pay Services)</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For Patients (What to Expect, Day of Your Infusion, Financial Advocacy)</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For Referring Physicians (Refer a Patient, Our Process, Communication Standards)</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Insurance &amp; Financial Assistance</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FAQs</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Contact &amp; Directions</w:t>
      </w:r>
    </w:p>
    <w:p>
      <w:r>
        <w:br w:type="page"/>
      </w:r>
    </w:p>
    <w:p>
      <w:pPr>
        <w:spacing w:after="120" w:before="360"/>
      </w:pPr>
      <w:r>
        <w:rPr>
          <w:rFonts w:ascii="Calibri" w:cs="Calibri" w:eastAsia="Calibri" w:hAnsi="Calibri"/>
          <w:b/>
          <w:bCs/>
          <w:i w:val="false"/>
          <w:iCs w:val="false"/>
          <w:color w:val="0F3D47"/>
          <w:sz w:val="36"/>
          <w:szCs w:val="36"/>
        </w:rPr>
        <w:t xml:space="preserve">Page 1 — Home</w:t>
      </w:r>
    </w:p>
    <w:p>
      <w:pPr>
        <w:spacing w:after="240" w:before="0"/>
      </w:pPr>
      <w:r>
        <w:rPr>
          <w:rFonts w:ascii="Calibri" w:cs="Calibri" w:eastAsia="Calibri" w:hAnsi="Calibri"/>
          <w:b w:val="false"/>
          <w:bCs w:val="false"/>
          <w:i/>
          <w:iCs/>
          <w:color w:val="1A6F73"/>
          <w:sz w:val="24"/>
          <w:szCs w:val="24"/>
        </w:rPr>
        <w:t xml:space="preserve">kirklandspecialtyinfusions.com</w:t>
      </w:r>
    </w:p>
    <w:p>
      <w:pPr>
        <w:spacing w:after="80" w:before="320"/>
      </w:pPr>
      <w:r>
        <w:rPr>
          <w:rFonts w:ascii="Calibri" w:cs="Calibri" w:eastAsia="Calibri" w:hAnsi="Calibri"/>
          <w:b/>
          <w:bCs/>
          <w:i w:val="false"/>
          <w:iCs w:val="false"/>
          <w:color w:val="1A6F73"/>
          <w:sz w:val="18"/>
          <w:szCs w:val="18"/>
        </w:rPr>
        <w:t xml:space="preserve">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73" w:sz="4"/>
              <w:left w:val="single" w:color="1A6F73" w:sz="4"/>
              <w:bottom w:val="single" w:color="1A6F73" w:sz="4"/>
              <w:right w:val="single" w:color="1A6F73" w:sz="4"/>
            </w:tcBorders>
            <w:shd w:fill="0F3D47" w:val="clear"/>
            <w:tcMar>
              <w:top w:type="dxa" w:w="400"/>
              <w:left w:type="dxa" w:w="360"/>
              <w:bottom w:type="dxa" w:w="400"/>
              <w:right w:type="dxa" w:w="360"/>
            </w:tcMar>
          </w:tcPr>
          <w:p>
            <w:pPr>
              <w:spacing w:after="160" w:before="0"/>
              <w:jc w:val="left"/>
            </w:pPr>
            <w:r>
              <w:rPr>
                <w:rFonts w:ascii="Calibri" w:cs="Calibri" w:eastAsia="Calibri" w:hAnsi="Calibri"/>
                <w:b/>
                <w:bCs/>
                <w:i w:val="false"/>
                <w:iCs w:val="false"/>
                <w:color w:val="FFFFFF"/>
                <w:sz w:val="40"/>
                <w:szCs w:val="40"/>
              </w:rPr>
              <w:t xml:space="preserve">The Infusion Partner Your Patients Deserve</w:t>
            </w:r>
          </w:p>
          <w:p>
            <w:pPr>
              <w:spacing w:after="240" w:before="0" w:line="340"/>
              <w:jc w:val="left"/>
            </w:pPr>
            <w:r>
              <w:rPr>
                <w:rFonts w:ascii="Calibri" w:cs="Calibri" w:eastAsia="Calibri" w:hAnsi="Calibri"/>
                <w:b w:val="false"/>
                <w:bCs w:val="false"/>
                <w:i w:val="false"/>
                <w:iCs w:val="false"/>
                <w:color w:val="D5E6E4"/>
                <w:sz w:val="24"/>
                <w:szCs w:val="24"/>
              </w:rPr>
              <w:t xml:space="preserve">Physician-supervised infusions. Financial advocacy for every patient. Seamless communication back to your referring office. Welcome to a different kind of infusion experience in Kirkland, Washington.</w:t>
            </w:r>
          </w:p>
          <w:p>
            <w:pPr>
              <w:spacing w:after="0" w:before="0"/>
              <w:jc w:val="left"/>
            </w:pPr>
            <w:r>
              <w:rPr>
                <w:rFonts w:ascii="Calibri" w:cs="Calibri" w:eastAsia="Calibri" w:hAnsi="Calibri"/>
                <w:b/>
                <w:bCs/>
                <w:i w:val="false"/>
                <w:iCs w:val="false"/>
                <w:color w:val="FFFFFF"/>
                <w:sz w:val="22"/>
                <w:szCs w:val="22"/>
              </w:rPr>
              <w:t xml:space="preserve">[ Refer a Patient ]   </w:t>
            </w:r>
            <w:r>
              <w:rPr>
                <w:rFonts w:ascii="Calibri" w:cs="Calibri" w:eastAsia="Calibri" w:hAnsi="Calibri"/>
                <w:b/>
                <w:bCs/>
                <w:i w:val="false"/>
                <w:iCs w:val="false"/>
                <w:color w:val="F4A261"/>
                <w:sz w:val="22"/>
                <w:szCs w:val="22"/>
              </w:rPr>
              <w:t xml:space="preserve">[ Schedule Your Infusion ]</w:t>
            </w:r>
          </w:p>
        </w:tc>
      </w:tr>
    </w:tbl>
    <w:p>
      <w:pPr>
        <w:spacing w:after="160" w:before="160"/>
      </w:pPr>
      <w:r>
        <w:rPr>
          <w:rFonts w:ascii="Calibri" w:cs="Calibri" w:eastAsia="Calibri" w:hAnsi="Calibri"/>
          <w:b w:val="false"/>
          <w:bCs w:val="false"/>
          <w:i w:val="false"/>
          <w:iCs w:val="false"/>
          <w:color w:val="2C3E50"/>
          <w:sz w:val="22"/>
          <w:szCs w:val="22"/>
        </w:rPr>
        <w:t xml:space="preserve"/>
      </w:r>
    </w:p>
    <w:p>
      <w:pPr>
        <w:spacing w:after="80" w:before="320"/>
      </w:pPr>
      <w:r>
        <w:rPr>
          <w:rFonts w:ascii="Calibri" w:cs="Calibri" w:eastAsia="Calibri" w:hAnsi="Calibri"/>
          <w:b/>
          <w:bCs/>
          <w:i w:val="false"/>
          <w:iCs w:val="false"/>
          <w:color w:val="1A6F73"/>
          <w:sz w:val="18"/>
          <w:szCs w:val="18"/>
        </w:rPr>
        <w:t xml:space="preserve">HERO SUB-HEADLINE (BELOW HERO IMAGE)</w:t>
      </w:r>
    </w:p>
    <w:p>
      <w:pPr>
        <w:spacing w:after="200" w:before="80"/>
        <w:jc w:val="left"/>
      </w:pPr>
      <w:r>
        <w:rPr>
          <w:rFonts w:ascii="Calibri" w:cs="Calibri" w:eastAsia="Calibri" w:hAnsi="Calibri"/>
          <w:b/>
          <w:bCs/>
          <w:i/>
          <w:iCs/>
          <w:color w:val="1A6F73"/>
          <w:sz w:val="24"/>
          <w:szCs w:val="24"/>
        </w:rPr>
        <w:t xml:space="preserve">Your Patient. Our Priority. Every Time.</w:t>
      </w:r>
    </w:p>
    <w:p>
      <w:pPr>
        <w:spacing w:after="80" w:before="320"/>
      </w:pPr>
      <w:r>
        <w:rPr>
          <w:rFonts w:ascii="Calibri" w:cs="Calibri" w:eastAsia="Calibri" w:hAnsi="Calibri"/>
          <w:b/>
          <w:bCs/>
          <w:i w:val="false"/>
          <w:iCs w:val="false"/>
          <w:color w:val="1A6F73"/>
          <w:sz w:val="18"/>
          <w:szCs w:val="18"/>
        </w:rPr>
        <w:t xml:space="preserve">INTRODUCTION BLOCK</w:t>
      </w:r>
    </w:p>
    <w:p>
      <w:pPr>
        <w:spacing w:after="160" w:before="80" w:line="340"/>
        <w:jc w:val="left"/>
      </w:pPr>
      <w:r>
        <w:rPr>
          <w:rFonts w:ascii="Calibri" w:cs="Calibri" w:eastAsia="Calibri" w:hAnsi="Calibri"/>
          <w:b w:val="false"/>
          <w:bCs w:val="false"/>
          <w:i w:val="false"/>
          <w:iCs w:val="false"/>
          <w:color w:val="2C3E50"/>
          <w:sz w:val="24"/>
          <w:szCs w:val="24"/>
        </w:rPr>
        <w:t xml:space="preserve">Kirkland Specialty Infusion Center is a physician-led outpatient infusion suite affiliated with Evergreen Rheumatology — one of the Pacific Northwest's most respected rheumatology practices, with over twenty years of specialty care experience.</w:t>
      </w:r>
    </w:p>
    <w:p>
      <w:pPr>
        <w:spacing w:after="80" w:before="80" w:line="320"/>
        <w:jc w:val="left"/>
      </w:pPr>
      <w:r>
        <w:rPr>
          <w:rFonts w:ascii="Calibri" w:cs="Calibri" w:eastAsia="Calibri" w:hAnsi="Calibri"/>
          <w:b w:val="false"/>
          <w:bCs w:val="false"/>
          <w:i w:val="false"/>
          <w:iCs w:val="false"/>
          <w:color w:val="2C3E50"/>
          <w:sz w:val="22"/>
          <w:szCs w:val="22"/>
        </w:rPr>
        <w:t xml:space="preserve">We built this center for one reason: to give patients a better infusion experience while making the referring physician's job easier. We handle prior authorizations. We navigate financial barriers. We confirm labs and baselines before infusion day. We close the loop after every visit. And a physician or licensed provider is present — not nearby, not on call, but in the room — for every single infusion we administer.</w:t>
      </w:r>
    </w:p>
    <w:p>
      <w:pPr>
        <w:spacing w:after="80" w:before="320"/>
      </w:pPr>
      <w:r>
        <w:rPr>
          <w:rFonts w:ascii="Calibri" w:cs="Calibri" w:eastAsia="Calibri" w:hAnsi="Calibri"/>
          <w:b/>
          <w:bCs/>
          <w:i w:val="false"/>
          <w:iCs w:val="false"/>
          <w:color w:val="1A6F73"/>
          <w:sz w:val="18"/>
          <w:szCs w:val="18"/>
        </w:rPr>
        <w:t xml:space="preserve">THE THREE PILLARS (ICON ROW WITH SHORT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FE0DE" w:sz="4"/>
              <w:left w:val="single" w:color="CFE0DE" w:sz="4"/>
              <w:bottom w:val="single" w:color="CFE0DE" w:sz="4"/>
              <w:right w:val="single" w:color="CFE0DE" w:sz="4"/>
            </w:tcBorders>
            <w:shd w:fill="FFFFFF" w:val="clear"/>
            <w:tcMar>
              <w:top w:type="dxa" w:w="240"/>
              <w:left w:type="dxa" w:w="220"/>
              <w:bottom w:type="dxa" w:w="240"/>
              <w:right w:type="dxa" w:w="220"/>
            </w:tcMar>
          </w:tcPr>
          <w:p>
            <w:pPr>
              <w:spacing w:after="120" w:before="0"/>
              <w:jc w:val="left"/>
            </w:pPr>
            <w:r>
              <w:rPr>
                <w:rFonts w:ascii="Calibri" w:cs="Calibri" w:eastAsia="Calibri" w:hAnsi="Calibri"/>
                <w:b/>
                <w:bCs/>
                <w:i w:val="false"/>
                <w:iCs w:val="false"/>
                <w:color w:val="1A6F73"/>
                <w:sz w:val="24"/>
                <w:szCs w:val="24"/>
              </w:rPr>
              <w:t xml:space="preserve">Physician-Supervised</w:t>
            </w:r>
          </w:p>
          <w:p>
            <w:pPr>
              <w:spacing w:after="0" w:before="0" w:line="300"/>
              <w:jc w:val="left"/>
            </w:pPr>
            <w:r>
              <w:rPr>
                <w:rFonts w:ascii="Calibri" w:cs="Calibri" w:eastAsia="Calibri" w:hAnsi="Calibri"/>
                <w:b w:val="false"/>
                <w:bCs w:val="false"/>
                <w:i w:val="false"/>
                <w:iCs w:val="false"/>
                <w:color w:val="2C3E50"/>
                <w:sz w:val="21"/>
                <w:szCs w:val="21"/>
              </w:rPr>
              <w:t xml:space="preserve">A licensed provider is present in the suite for every infusion. This is not the industry standard. It is ours.</w:t>
            </w:r>
          </w:p>
        </w:tc>
        <w:tc>
          <w:tcPr>
            <w:tcW w:type="dxa" w:w="3120"/>
            <w:tcBorders>
              <w:top w:val="single" w:color="CFE0DE" w:sz="4"/>
              <w:left w:val="single" w:color="CFE0DE" w:sz="4"/>
              <w:bottom w:val="single" w:color="CFE0DE" w:sz="4"/>
              <w:right w:val="single" w:color="CFE0DE" w:sz="4"/>
            </w:tcBorders>
            <w:shd w:fill="FFFFFF" w:val="clear"/>
            <w:tcMar>
              <w:top w:type="dxa" w:w="240"/>
              <w:left w:type="dxa" w:w="220"/>
              <w:bottom w:type="dxa" w:w="240"/>
              <w:right w:type="dxa" w:w="220"/>
            </w:tcMar>
          </w:tcPr>
          <w:p>
            <w:pPr>
              <w:spacing w:after="120" w:before="0"/>
              <w:jc w:val="left"/>
            </w:pPr>
            <w:r>
              <w:rPr>
                <w:rFonts w:ascii="Calibri" w:cs="Calibri" w:eastAsia="Calibri" w:hAnsi="Calibri"/>
                <w:b/>
                <w:bCs/>
                <w:i w:val="false"/>
                <w:iCs w:val="false"/>
                <w:color w:val="1A6F73"/>
                <w:sz w:val="24"/>
                <w:szCs w:val="24"/>
              </w:rPr>
              <w:t xml:space="preserve">Financial Advocacy</w:t>
            </w:r>
          </w:p>
          <w:p>
            <w:pPr>
              <w:spacing w:after="0" w:before="0" w:line="300"/>
              <w:jc w:val="left"/>
            </w:pPr>
            <w:r>
              <w:rPr>
                <w:rFonts w:ascii="Calibri" w:cs="Calibri" w:eastAsia="Calibri" w:hAnsi="Calibri"/>
                <w:b w:val="false"/>
                <w:bCs w:val="false"/>
                <w:i w:val="false"/>
                <w:iCs w:val="false"/>
                <w:color w:val="2C3E50"/>
                <w:sz w:val="21"/>
                <w:szCs w:val="21"/>
              </w:rPr>
              <w:t xml:space="preserve">Copay assistance, manufacturer support programs, foundation grants. We pursue every avenue so cost is rarely the barrier.</w:t>
            </w:r>
          </w:p>
        </w:tc>
        <w:tc>
          <w:tcPr>
            <w:tcW w:type="dxa" w:w="3120"/>
            <w:tcBorders>
              <w:top w:val="single" w:color="CFE0DE" w:sz="4"/>
              <w:left w:val="single" w:color="CFE0DE" w:sz="4"/>
              <w:bottom w:val="single" w:color="CFE0DE" w:sz="4"/>
              <w:right w:val="single" w:color="CFE0DE" w:sz="4"/>
            </w:tcBorders>
            <w:shd w:fill="FFFFFF" w:val="clear"/>
            <w:tcMar>
              <w:top w:type="dxa" w:w="240"/>
              <w:left w:type="dxa" w:w="220"/>
              <w:bottom w:type="dxa" w:w="240"/>
              <w:right w:type="dxa" w:w="220"/>
            </w:tcMar>
          </w:tcPr>
          <w:p>
            <w:pPr>
              <w:spacing w:after="120" w:before="0"/>
              <w:jc w:val="left"/>
            </w:pPr>
            <w:r>
              <w:rPr>
                <w:rFonts w:ascii="Calibri" w:cs="Calibri" w:eastAsia="Calibri" w:hAnsi="Calibri"/>
                <w:b/>
                <w:bCs/>
                <w:i w:val="false"/>
                <w:iCs w:val="false"/>
                <w:color w:val="1A6F73"/>
                <w:sz w:val="24"/>
                <w:szCs w:val="24"/>
              </w:rPr>
              <w:t xml:space="preserve">Seamless Communication</w:t>
            </w:r>
          </w:p>
          <w:p>
            <w:pPr>
              <w:spacing w:after="0" w:before="0" w:line="300"/>
              <w:jc w:val="left"/>
            </w:pPr>
            <w:r>
              <w:rPr>
                <w:rFonts w:ascii="Calibri" w:cs="Calibri" w:eastAsia="Calibri" w:hAnsi="Calibri"/>
                <w:b w:val="false"/>
                <w:bCs w:val="false"/>
                <w:i w:val="false"/>
                <w:iCs w:val="false"/>
                <w:color w:val="2C3E50"/>
                <w:sz w:val="21"/>
                <w:szCs w:val="21"/>
              </w:rPr>
              <w:t xml:space="preserve">We close the loop with your referring office after every infusion — medication received, tolerance, next visit scheduled.</w:t>
            </w:r>
          </w:p>
        </w:tc>
      </w:tr>
    </w:tbl>
    <w:p>
      <w:pPr>
        <w:spacing w:after="160" w:before="160"/>
      </w:pPr>
      <w:r>
        <w:rPr>
          <w:rFonts w:ascii="Calibri" w:cs="Calibri" w:eastAsia="Calibri" w:hAnsi="Calibri"/>
          <w:b w:val="false"/>
          <w:bCs w:val="false"/>
          <w:i w:val="false"/>
          <w:iCs w:val="false"/>
          <w:color w:val="2C3E50"/>
          <w:sz w:val="22"/>
          <w:szCs w:val="22"/>
        </w:rPr>
        <w:t xml:space="preserve"/>
      </w:r>
    </w:p>
    <w:p>
      <w:pPr>
        <w:spacing w:after="80" w:before="320"/>
      </w:pPr>
      <w:r>
        <w:rPr>
          <w:rFonts w:ascii="Calibri" w:cs="Calibri" w:eastAsia="Calibri" w:hAnsi="Calibri"/>
          <w:b/>
          <w:bCs/>
          <w:i w:val="false"/>
          <w:iCs w:val="false"/>
          <w:color w:val="1A6F73"/>
          <w:sz w:val="18"/>
          <w:szCs w:val="18"/>
        </w:rPr>
        <w:t xml:space="preserve">WHO WE SERVE (PREVIEW BEFORE SPECIALTIES PAGE)</w:t>
      </w:r>
    </w:p>
    <w:p>
      <w:pPr>
        <w:spacing w:after="80" w:before="80" w:line="320"/>
        <w:jc w:val="left"/>
      </w:pPr>
      <w:r>
        <w:rPr>
          <w:rFonts w:ascii="Calibri" w:cs="Calibri" w:eastAsia="Calibri" w:hAnsi="Calibri"/>
          <w:b w:val="false"/>
          <w:bCs w:val="false"/>
          <w:i w:val="false"/>
          <w:iCs w:val="false"/>
          <w:color w:val="2C3E50"/>
          <w:sz w:val="22"/>
          <w:szCs w:val="22"/>
        </w:rPr>
        <w:t xml:space="preserve">We provide infusion services across a wide range of medical specialties. Our infusion suite welcomes patients referred by rheumatologists, gastroenterologists, oncologists, dermatologists, neurologists, endocrinologists, allergists and immunologists, and physicians caring for patients with osteoporosis and metabolic bone disease.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FE0DE" w:sz="4"/>
              <w:left w:val="single" w:color="CFE0DE" w:sz="4"/>
              <w:bottom w:val="single" w:color="CFE0DE" w:sz="4"/>
              <w:right w:val="single" w:color="CFE0DE" w:sz="4"/>
            </w:tcBorders>
            <w:shd w:fill="F2F7F7" w:val="clear"/>
            <w:tcMar>
              <w:top w:type="dxa" w:w="200"/>
              <w:left w:type="dxa" w:w="220"/>
              <w:bottom w:type="dxa" w:w="200"/>
              <w:right w:type="dxa" w:w="220"/>
            </w:tcMar>
          </w:tcPr>
          <w:p>
            <w:pPr>
              <w:spacing w:after="120" w:before="0"/>
              <w:jc w:val="left"/>
            </w:pPr>
            <w:r>
              <w:rPr>
                <w:rFonts w:ascii="Calibri" w:cs="Calibri" w:eastAsia="Calibri" w:hAnsi="Calibri"/>
                <w:b/>
                <w:bCs/>
                <w:i w:val="false"/>
                <w:iCs w:val="false"/>
                <w:color w:val="0F3D47"/>
                <w:sz w:val="24"/>
                <w:szCs w:val="24"/>
              </w:rPr>
              <w:t xml:space="preserve">Specialties Served</w:t>
            </w:r>
          </w:p>
          <w:p>
            <w:pPr>
              <w:spacing w:after="40" w:before="40"/>
              <w:jc w:val="left"/>
            </w:pPr>
            <w:r>
              <w:rPr>
                <w:rFonts w:ascii="Calibri" w:cs="Calibri" w:eastAsia="Calibri" w:hAnsi="Calibri"/>
                <w:b/>
                <w:bCs/>
                <w:i w:val="false"/>
                <w:iCs w:val="false"/>
                <w:color w:val="1A6F73"/>
                <w:sz w:val="22"/>
                <w:szCs w:val="22"/>
              </w:rPr>
              <w:t xml:space="preserve">  •  </w:t>
            </w:r>
            <w:r>
              <w:rPr>
                <w:rFonts w:ascii="Calibri" w:cs="Calibri" w:eastAsia="Calibri" w:hAnsi="Calibri"/>
                <w:b w:val="false"/>
                <w:bCs w:val="false"/>
                <w:i w:val="false"/>
                <w:iCs w:val="false"/>
                <w:color w:val="2C3E50"/>
                <w:sz w:val="22"/>
                <w:szCs w:val="22"/>
              </w:rPr>
              <w:t xml:space="preserve">Rheumatology</w:t>
            </w:r>
          </w:p>
          <w:p>
            <w:pPr>
              <w:spacing w:after="40" w:before="40"/>
              <w:jc w:val="left"/>
            </w:pPr>
            <w:r>
              <w:rPr>
                <w:rFonts w:ascii="Calibri" w:cs="Calibri" w:eastAsia="Calibri" w:hAnsi="Calibri"/>
                <w:b/>
                <w:bCs/>
                <w:i w:val="false"/>
                <w:iCs w:val="false"/>
                <w:color w:val="1A6F73"/>
                <w:sz w:val="22"/>
                <w:szCs w:val="22"/>
              </w:rPr>
              <w:t xml:space="preserve">  •  </w:t>
            </w:r>
            <w:r>
              <w:rPr>
                <w:rFonts w:ascii="Calibri" w:cs="Calibri" w:eastAsia="Calibri" w:hAnsi="Calibri"/>
                <w:b w:val="false"/>
                <w:bCs w:val="false"/>
                <w:i w:val="false"/>
                <w:iCs w:val="false"/>
                <w:color w:val="2C3E50"/>
                <w:sz w:val="22"/>
                <w:szCs w:val="22"/>
              </w:rPr>
              <w:t xml:space="preserve">Gastroenterology</w:t>
            </w:r>
          </w:p>
          <w:p>
            <w:pPr>
              <w:spacing w:after="40" w:before="40"/>
              <w:jc w:val="left"/>
            </w:pPr>
            <w:r>
              <w:rPr>
                <w:rFonts w:ascii="Calibri" w:cs="Calibri" w:eastAsia="Calibri" w:hAnsi="Calibri"/>
                <w:b/>
                <w:bCs/>
                <w:i w:val="false"/>
                <w:iCs w:val="false"/>
                <w:color w:val="1A6F73"/>
                <w:sz w:val="22"/>
                <w:szCs w:val="22"/>
              </w:rPr>
              <w:t xml:space="preserve">  •  </w:t>
            </w:r>
            <w:r>
              <w:rPr>
                <w:rFonts w:ascii="Calibri" w:cs="Calibri" w:eastAsia="Calibri" w:hAnsi="Calibri"/>
                <w:b w:val="false"/>
                <w:bCs w:val="false"/>
                <w:i w:val="false"/>
                <w:iCs w:val="false"/>
                <w:color w:val="2C3E50"/>
                <w:sz w:val="22"/>
                <w:szCs w:val="22"/>
              </w:rPr>
              <w:t xml:space="preserve">Oncology / Hematology</w:t>
            </w:r>
          </w:p>
          <w:p>
            <w:pPr>
              <w:spacing w:after="40" w:before="40"/>
              <w:jc w:val="left"/>
            </w:pPr>
            <w:r>
              <w:rPr>
                <w:rFonts w:ascii="Calibri" w:cs="Calibri" w:eastAsia="Calibri" w:hAnsi="Calibri"/>
                <w:b/>
                <w:bCs/>
                <w:i w:val="false"/>
                <w:iCs w:val="false"/>
                <w:color w:val="1A6F73"/>
                <w:sz w:val="22"/>
                <w:szCs w:val="22"/>
              </w:rPr>
              <w:t xml:space="preserve">  •  </w:t>
            </w:r>
            <w:r>
              <w:rPr>
                <w:rFonts w:ascii="Calibri" w:cs="Calibri" w:eastAsia="Calibri" w:hAnsi="Calibri"/>
                <w:b w:val="false"/>
                <w:bCs w:val="false"/>
                <w:i w:val="false"/>
                <w:iCs w:val="false"/>
                <w:color w:val="2C3E50"/>
                <w:sz w:val="22"/>
                <w:szCs w:val="22"/>
              </w:rPr>
              <w:t xml:space="preserve">Dermatology</w:t>
            </w:r>
          </w:p>
          <w:p>
            <w:pPr>
              <w:spacing w:after="40" w:before="40"/>
              <w:jc w:val="left"/>
            </w:pPr>
            <w:r>
              <w:rPr>
                <w:rFonts w:ascii="Calibri" w:cs="Calibri" w:eastAsia="Calibri" w:hAnsi="Calibri"/>
                <w:b/>
                <w:bCs/>
                <w:i w:val="false"/>
                <w:iCs w:val="false"/>
                <w:color w:val="1A6F73"/>
                <w:sz w:val="22"/>
                <w:szCs w:val="22"/>
              </w:rPr>
              <w:t xml:space="preserve">  •  </w:t>
            </w:r>
            <w:r>
              <w:rPr>
                <w:rFonts w:ascii="Calibri" w:cs="Calibri" w:eastAsia="Calibri" w:hAnsi="Calibri"/>
                <w:b w:val="false"/>
                <w:bCs w:val="false"/>
                <w:i w:val="false"/>
                <w:iCs w:val="false"/>
                <w:color w:val="2C3E50"/>
                <w:sz w:val="22"/>
                <w:szCs w:val="22"/>
              </w:rPr>
              <w:t xml:space="preserve">Neurology</w:t>
            </w:r>
          </w:p>
          <w:p>
            <w:pPr>
              <w:spacing w:after="40" w:before="40"/>
              <w:jc w:val="left"/>
            </w:pPr>
            <w:r>
              <w:rPr>
                <w:rFonts w:ascii="Calibri" w:cs="Calibri" w:eastAsia="Calibri" w:hAnsi="Calibri"/>
                <w:b/>
                <w:bCs/>
                <w:i w:val="false"/>
                <w:iCs w:val="false"/>
                <w:color w:val="1A6F73"/>
                <w:sz w:val="22"/>
                <w:szCs w:val="22"/>
              </w:rPr>
              <w:t xml:space="preserve">  •  </w:t>
            </w:r>
            <w:r>
              <w:rPr>
                <w:rFonts w:ascii="Calibri" w:cs="Calibri" w:eastAsia="Calibri" w:hAnsi="Calibri"/>
                <w:b w:val="false"/>
                <w:bCs w:val="false"/>
                <w:i w:val="false"/>
                <w:iCs w:val="false"/>
                <w:color w:val="2C3E50"/>
                <w:sz w:val="22"/>
                <w:szCs w:val="22"/>
              </w:rPr>
              <w:t xml:space="preserve">Osteoporosis &amp; Bone Health</w:t>
            </w:r>
          </w:p>
          <w:p>
            <w:pPr>
              <w:spacing w:after="40" w:before="40"/>
              <w:jc w:val="left"/>
            </w:pPr>
            <w:r>
              <w:rPr>
                <w:rFonts w:ascii="Calibri" w:cs="Calibri" w:eastAsia="Calibri" w:hAnsi="Calibri"/>
                <w:b/>
                <w:bCs/>
                <w:i w:val="false"/>
                <w:iCs w:val="false"/>
                <w:color w:val="1A6F73"/>
                <w:sz w:val="22"/>
                <w:szCs w:val="22"/>
              </w:rPr>
              <w:t xml:space="preserve">  •  </w:t>
            </w:r>
            <w:r>
              <w:rPr>
                <w:rFonts w:ascii="Calibri" w:cs="Calibri" w:eastAsia="Calibri" w:hAnsi="Calibri"/>
                <w:b w:val="false"/>
                <w:bCs w:val="false"/>
                <w:i w:val="false"/>
                <w:iCs w:val="false"/>
                <w:color w:val="2C3E50"/>
                <w:sz w:val="22"/>
                <w:szCs w:val="22"/>
              </w:rPr>
              <w:t xml:space="preserve">Allergy &amp; Immunology</w:t>
            </w:r>
          </w:p>
          <w:p>
            <w:pPr>
              <w:spacing w:after="40" w:before="40"/>
              <w:jc w:val="left"/>
            </w:pPr>
            <w:r>
              <w:rPr>
                <w:rFonts w:ascii="Calibri" w:cs="Calibri" w:eastAsia="Calibri" w:hAnsi="Calibri"/>
                <w:b/>
                <w:bCs/>
                <w:i w:val="false"/>
                <w:iCs w:val="false"/>
                <w:color w:val="1A6F73"/>
                <w:sz w:val="22"/>
                <w:szCs w:val="22"/>
              </w:rPr>
              <w:t xml:space="preserve">  •  </w:t>
            </w:r>
            <w:r>
              <w:rPr>
                <w:rFonts w:ascii="Calibri" w:cs="Calibri" w:eastAsia="Calibri" w:hAnsi="Calibri"/>
                <w:b w:val="false"/>
                <w:bCs w:val="false"/>
                <w:i w:val="false"/>
                <w:iCs w:val="false"/>
                <w:color w:val="2C3E50"/>
                <w:sz w:val="22"/>
                <w:szCs w:val="22"/>
              </w:rPr>
              <w:t xml:space="preserve">Endocrinology</w:t>
            </w:r>
          </w:p>
        </w:tc>
        <w:tc>
          <w:tcPr>
            <w:tcW w:type="dxa" w:w="4680"/>
            <w:tcBorders>
              <w:top w:val="single" w:color="CFE0DE" w:sz="4"/>
              <w:left w:val="single" w:color="CFE0DE" w:sz="4"/>
              <w:bottom w:val="single" w:color="CFE0DE" w:sz="4"/>
              <w:right w:val="single" w:color="CFE0DE" w:sz="4"/>
            </w:tcBorders>
            <w:shd w:fill="FFFFFF" w:val="clear"/>
            <w:tcMar>
              <w:top w:type="dxa" w:w="200"/>
              <w:left w:type="dxa" w:w="220"/>
              <w:bottom w:type="dxa" w:w="200"/>
              <w:right w:type="dxa" w:w="220"/>
            </w:tcMar>
          </w:tcPr>
          <w:p>
            <w:pPr>
              <w:spacing w:after="120" w:before="0"/>
              <w:jc w:val="left"/>
            </w:pPr>
            <w:r>
              <w:rPr>
                <w:rFonts w:ascii="Calibri" w:cs="Calibri" w:eastAsia="Calibri" w:hAnsi="Calibri"/>
                <w:b/>
                <w:bCs/>
                <w:i w:val="false"/>
                <w:iCs w:val="false"/>
                <w:color w:val="0F3D47"/>
                <w:sz w:val="24"/>
                <w:szCs w:val="24"/>
              </w:rPr>
              <w:t xml:space="preserve">Featured Therapies</w:t>
            </w:r>
          </w:p>
          <w:p>
            <w:pPr>
              <w:spacing w:after="40" w:before="40"/>
              <w:jc w:val="left"/>
            </w:pPr>
            <w:r>
              <w:rPr>
                <w:rFonts w:ascii="Calibri" w:cs="Calibri" w:eastAsia="Calibri" w:hAnsi="Calibri"/>
                <w:b/>
                <w:bCs/>
                <w:i w:val="false"/>
                <w:iCs w:val="false"/>
                <w:color w:val="1A6F73"/>
                <w:sz w:val="22"/>
                <w:szCs w:val="22"/>
              </w:rPr>
              <w:t xml:space="preserve">  •  </w:t>
            </w:r>
            <w:r>
              <w:rPr>
                <w:rFonts w:ascii="Calibri" w:cs="Calibri" w:eastAsia="Calibri" w:hAnsi="Calibri"/>
                <w:b w:val="false"/>
                <w:bCs w:val="false"/>
                <w:i w:val="false"/>
                <w:iCs w:val="false"/>
                <w:color w:val="2C3E50"/>
                <w:sz w:val="22"/>
                <w:szCs w:val="22"/>
              </w:rPr>
              <w:t xml:space="preserve">Actemra, Benlysta, Cimzia, Cosentyx</w:t>
            </w:r>
          </w:p>
          <w:p>
            <w:pPr>
              <w:spacing w:after="40" w:before="40"/>
              <w:jc w:val="left"/>
            </w:pPr>
            <w:r>
              <w:rPr>
                <w:rFonts w:ascii="Calibri" w:cs="Calibri" w:eastAsia="Calibri" w:hAnsi="Calibri"/>
                <w:b/>
                <w:bCs/>
                <w:i w:val="false"/>
                <w:iCs w:val="false"/>
                <w:color w:val="1A6F73"/>
                <w:sz w:val="22"/>
                <w:szCs w:val="22"/>
              </w:rPr>
              <w:t xml:space="preserve">  •  </w:t>
            </w:r>
            <w:r>
              <w:rPr>
                <w:rFonts w:ascii="Calibri" w:cs="Calibri" w:eastAsia="Calibri" w:hAnsi="Calibri"/>
                <w:b w:val="false"/>
                <w:bCs w:val="false"/>
                <w:i w:val="false"/>
                <w:iCs w:val="false"/>
                <w:color w:val="2C3E50"/>
                <w:sz w:val="22"/>
                <w:szCs w:val="22"/>
              </w:rPr>
              <w:t xml:space="preserve">Evenity, Ilaris, Ilumya, Krystexxa</w:t>
            </w:r>
          </w:p>
          <w:p>
            <w:pPr>
              <w:spacing w:after="40" w:before="40"/>
              <w:jc w:val="left"/>
            </w:pPr>
            <w:r>
              <w:rPr>
                <w:rFonts w:ascii="Calibri" w:cs="Calibri" w:eastAsia="Calibri" w:hAnsi="Calibri"/>
                <w:b/>
                <w:bCs/>
                <w:i w:val="false"/>
                <w:iCs w:val="false"/>
                <w:color w:val="1A6F73"/>
                <w:sz w:val="22"/>
                <w:szCs w:val="22"/>
              </w:rPr>
              <w:t xml:space="preserve">  •  </w:t>
            </w:r>
            <w:r>
              <w:rPr>
                <w:rFonts w:ascii="Calibri" w:cs="Calibri" w:eastAsia="Calibri" w:hAnsi="Calibri"/>
                <w:b w:val="false"/>
                <w:bCs w:val="false"/>
                <w:i w:val="false"/>
                <w:iCs w:val="false"/>
                <w:color w:val="2C3E50"/>
                <w:sz w:val="22"/>
                <w:szCs w:val="22"/>
              </w:rPr>
              <w:t xml:space="preserve">Octagam (IVIG), Orencia, Pemgarda</w:t>
            </w:r>
          </w:p>
          <w:p>
            <w:pPr>
              <w:spacing w:after="40" w:before="40"/>
              <w:jc w:val="left"/>
            </w:pPr>
            <w:r>
              <w:rPr>
                <w:rFonts w:ascii="Calibri" w:cs="Calibri" w:eastAsia="Calibri" w:hAnsi="Calibri"/>
                <w:b/>
                <w:bCs/>
                <w:i w:val="false"/>
                <w:iCs w:val="false"/>
                <w:color w:val="1A6F73"/>
                <w:sz w:val="22"/>
                <w:szCs w:val="22"/>
              </w:rPr>
              <w:t xml:space="preserve">  •  </w:t>
            </w:r>
            <w:r>
              <w:rPr>
                <w:rFonts w:ascii="Calibri" w:cs="Calibri" w:eastAsia="Calibri" w:hAnsi="Calibri"/>
                <w:b w:val="false"/>
                <w:bCs w:val="false"/>
                <w:i w:val="false"/>
                <w:iCs w:val="false"/>
                <w:color w:val="2C3E50"/>
                <w:sz w:val="22"/>
                <w:szCs w:val="22"/>
              </w:rPr>
              <w:t xml:space="preserve">Remicade, Rituxan, Simponi Aria</w:t>
            </w:r>
          </w:p>
          <w:p>
            <w:pPr>
              <w:spacing w:after="40" w:before="40"/>
              <w:jc w:val="left"/>
            </w:pPr>
            <w:r>
              <w:rPr>
                <w:rFonts w:ascii="Calibri" w:cs="Calibri" w:eastAsia="Calibri" w:hAnsi="Calibri"/>
                <w:b/>
                <w:bCs/>
                <w:i w:val="false"/>
                <w:iCs w:val="false"/>
                <w:color w:val="1A6F73"/>
                <w:sz w:val="22"/>
                <w:szCs w:val="22"/>
              </w:rPr>
              <w:t xml:space="preserve">  •  </w:t>
            </w:r>
            <w:r>
              <w:rPr>
                <w:rFonts w:ascii="Calibri" w:cs="Calibri" w:eastAsia="Calibri" w:hAnsi="Calibri"/>
                <w:b w:val="false"/>
                <w:bCs w:val="false"/>
                <w:i w:val="false"/>
                <w:iCs w:val="false"/>
                <w:color w:val="2C3E50"/>
                <w:sz w:val="22"/>
                <w:szCs w:val="22"/>
              </w:rPr>
              <w:t xml:space="preserve">Stelara, Tepezza, Uplizna, Vyvgart, Ocrevus</w:t>
            </w:r>
          </w:p>
        </w:tc>
      </w:tr>
    </w:tbl>
    <w:p>
      <w:pPr>
        <w:spacing w:after="160" w:before="160"/>
      </w:pPr>
      <w:r>
        <w:rPr>
          <w:rFonts w:ascii="Calibri" w:cs="Calibri" w:eastAsia="Calibri" w:hAnsi="Calibri"/>
          <w:b w:val="false"/>
          <w:bCs w:val="false"/>
          <w:i w:val="false"/>
          <w:iCs w:val="false"/>
          <w:color w:val="2C3E50"/>
          <w:sz w:val="22"/>
          <w:szCs w:val="22"/>
        </w:rPr>
        <w:t xml:space="preserve"/>
      </w:r>
    </w:p>
    <w:p>
      <w:pPr>
        <w:spacing w:after="80" w:before="320"/>
      </w:pPr>
      <w:r>
        <w:rPr>
          <w:rFonts w:ascii="Calibri" w:cs="Calibri" w:eastAsia="Calibri" w:hAnsi="Calibri"/>
          <w:b/>
          <w:bCs/>
          <w:i w:val="false"/>
          <w:iCs w:val="false"/>
          <w:color w:val="1A6F73"/>
          <w:sz w:val="18"/>
          <w:szCs w:val="18"/>
        </w:rPr>
        <w:t xml:space="preserve">MID-PAGE CALL TO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73" w:sz="8"/>
              <w:left w:val="single" w:color="1A6F73" w:sz="24"/>
              <w:bottom w:val="single" w:color="1A6F73" w:sz="8"/>
              <w:right w:val="single" w:color="CFE0DE" w:sz="4"/>
            </w:tcBorders>
            <w:shd w:fill="F2F7F7" w:val="clear"/>
            <w:tcMar>
              <w:top w:type="dxa" w:w="200"/>
              <w:left w:type="dxa" w:w="240"/>
              <w:bottom w:type="dxa" w:w="200"/>
              <w:right w:type="dxa" w:w="240"/>
            </w:tcMar>
          </w:tcPr>
          <w:p>
            <w:pPr>
              <w:spacing w:after="80" w:before="0"/>
              <w:jc w:val="left"/>
            </w:pPr>
            <w:r>
              <w:rPr>
                <w:rFonts w:ascii="Calibri" w:cs="Calibri" w:eastAsia="Calibri" w:hAnsi="Calibri"/>
                <w:b/>
                <w:bCs/>
                <w:i w:val="false"/>
                <w:iCs w:val="false"/>
                <w:color w:val="0F3D47"/>
                <w:sz w:val="24"/>
                <w:szCs w:val="24"/>
              </w:rPr>
              <w:t xml:space="preserve">One referral. Zero hassle. Your patient is in expert hands.</w:t>
            </w:r>
          </w:p>
          <w:p>
            <w:pPr>
              <w:spacing w:after="0" w:before="40" w:line="320"/>
              <w:jc w:val="left"/>
            </w:pPr>
            <w:r>
              <w:rPr>
                <w:rFonts w:ascii="Calibri" w:cs="Calibri" w:eastAsia="Calibri" w:hAnsi="Calibri"/>
                <w:b w:val="false"/>
                <w:bCs w:val="false"/>
                <w:i w:val="false"/>
                <w:iCs w:val="false"/>
                <w:color w:val="2C3E50"/>
                <w:sz w:val="22"/>
                <w:szCs w:val="22"/>
              </w:rPr>
              <w:t xml:space="preserve">Send us a referral and we will take it from there. Insurance verification, prior authorization, financial advocacy, lab coordination, scheduling, infusion, and follow-up — all handled. Your staff sends the patient. We do the rest.</w:t>
            </w:r>
          </w:p>
        </w:tc>
      </w:tr>
    </w:tbl>
    <w:p>
      <w:pPr>
        <w:spacing w:after="200" w:before="200"/>
      </w:pPr>
      <w:r>
        <w:rPr>
          <w:rFonts w:ascii="Calibri" w:cs="Calibri" w:eastAsia="Calibri" w:hAnsi="Calibri"/>
          <w:b w:val="false"/>
          <w:bCs w:val="false"/>
          <w:i w:val="false"/>
          <w:iCs w:val="false"/>
          <w:color w:val="2C3E50"/>
          <w:sz w:val="22"/>
          <w:szCs w:val="22"/>
        </w:rPr>
        <w:t xml:space="preserve"/>
      </w:r>
    </w:p>
    <w:p>
      <w:pPr>
        <w:spacing w:after="80" w:before="320"/>
      </w:pPr>
      <w:r>
        <w:rPr>
          <w:rFonts w:ascii="Calibri" w:cs="Calibri" w:eastAsia="Calibri" w:hAnsi="Calibri"/>
          <w:b/>
          <w:bCs/>
          <w:i w:val="false"/>
          <w:iCs w:val="false"/>
          <w:color w:val="1A6F73"/>
          <w:sz w:val="18"/>
          <w:szCs w:val="18"/>
        </w:rPr>
        <w:t xml:space="preserve">REASSURANCE SECTION — A DIFFERENT KIND OF INFUSION CENTER</w:t>
      </w:r>
    </w:p>
    <w:p>
      <w:pPr>
        <w:spacing w:after="120" w:before="240"/>
      </w:pPr>
      <w:r>
        <w:rPr>
          <w:rFonts w:ascii="Calibri" w:cs="Calibri" w:eastAsia="Calibri" w:hAnsi="Calibri"/>
          <w:b/>
          <w:bCs/>
          <w:i w:val="false"/>
          <w:iCs w:val="false"/>
          <w:color w:val="1A6F73"/>
          <w:sz w:val="26"/>
          <w:szCs w:val="26"/>
        </w:rPr>
        <w:t xml:space="preserve">Where Serious Medicine Meets Gentle Hands</w:t>
      </w:r>
    </w:p>
    <w:p>
      <w:pPr>
        <w:spacing w:after="80" w:before="80" w:line="320"/>
        <w:jc w:val="left"/>
      </w:pPr>
      <w:r>
        <w:rPr>
          <w:rFonts w:ascii="Calibri" w:cs="Calibri" w:eastAsia="Calibri" w:hAnsi="Calibri"/>
          <w:b w:val="false"/>
          <w:bCs w:val="false"/>
          <w:i w:val="false"/>
          <w:iCs w:val="false"/>
          <w:color w:val="2C3E50"/>
          <w:sz w:val="22"/>
          <w:szCs w:val="22"/>
        </w:rPr>
        <w:t xml:space="preserve">Many of our patients arrive nervous. Some have had difficult experiences in larger hospital infusion suites — long waits, rotating staff, the feeling of being a name on a chart rather than a person. We built Kirkland Specialty Infusion Center as the antidote to that experience.</w:t>
      </w:r>
    </w:p>
    <w:p>
      <w:pPr>
        <w:spacing w:after="80" w:before="80" w:line="320"/>
        <w:jc w:val="left"/>
      </w:pPr>
      <w:r>
        <w:rPr>
          <w:rFonts w:ascii="Calibri" w:cs="Calibri" w:eastAsia="Calibri" w:hAnsi="Calibri"/>
          <w:b w:val="false"/>
          <w:bCs w:val="false"/>
          <w:i w:val="false"/>
          <w:iCs w:val="false"/>
          <w:color w:val="2C3E50"/>
          <w:sz w:val="22"/>
          <w:szCs w:val="22"/>
        </w:rPr>
        <w:t xml:space="preserve">Our suite is calm and private. Our staff knows your name, your treatment, and the small details that make your visit easier. You will see the same faces visit after visit. And there is always a physician in the building, available the moment a question, a concern, or a clinical decision arises.</w:t>
      </w:r>
    </w:p>
    <w:p>
      <w:pPr>
        <w:spacing w:after="80" w:before="80" w:line="320"/>
        <w:jc w:val="left"/>
      </w:pPr>
      <w:r>
        <w:rPr>
          <w:rFonts w:ascii="Calibri" w:cs="Calibri" w:eastAsia="Calibri" w:hAnsi="Calibri"/>
          <w:b w:val="false"/>
          <w:bCs w:val="false"/>
          <w:i w:val="false"/>
          <w:iCs w:val="false"/>
          <w:color w:val="2C3E50"/>
          <w:sz w:val="22"/>
          <w:szCs w:val="22"/>
        </w:rPr>
        <w:t xml:space="preserve">Patients live full lives — they work, travel, garden, hike the Cascades, hold their grandchildren. Our job is to make the time they spend with us so unremarkable that the rest of their week stays remarkable.</w:t>
      </w:r>
    </w:p>
    <w:p>
      <w:pPr>
        <w:spacing w:after="80" w:before="320"/>
      </w:pPr>
      <w:r>
        <w:rPr>
          <w:rFonts w:ascii="Calibri" w:cs="Calibri" w:eastAsia="Calibri" w:hAnsi="Calibri"/>
          <w:b/>
          <w:bCs/>
          <w:i w:val="false"/>
          <w:iCs w:val="false"/>
          <w:color w:val="1A6F73"/>
          <w:sz w:val="18"/>
          <w:szCs w:val="18"/>
        </w:rPr>
        <w:t xml:space="preserve">AWARDS &amp; RECOGNITION (CAROUSEL OF PHYSICIAN/PRACTICE AWARDS)</w:t>
      </w:r>
    </w:p>
    <w:p>
      <w:pPr>
        <w:spacing w:after="80" w:before="80" w:line="320"/>
        <w:jc w:val="left"/>
      </w:pPr>
      <w:r>
        <w:rPr>
          <w:rFonts w:ascii="Calibri" w:cs="Calibri" w:eastAsia="Calibri" w:hAnsi="Calibri"/>
          <w:b w:val="false"/>
          <w:bCs w:val="false"/>
          <w:i w:val="false"/>
          <w:iCs w:val="false"/>
          <w:color w:val="2C3E50"/>
          <w:sz w:val="22"/>
          <w:szCs w:val="22"/>
        </w:rPr>
        <w:t xml:space="preserve">Display the Evergreen Rheumatology and Overlake Arthritis physician awards: Castle Connolly Top Doctors, Seattle Magazine Top Doctors, Vitals Patient Choice, Patients' Choice multiple years, Strathmore's Who's Who, Vitals On-Time Doctor, Vitals Compassionate Doctor, Seattle Met Top Doctors. Pull from the same approved set used on lakesideresearchcenter.com and overlakearthritis.com.</w:t>
      </w:r>
    </w:p>
    <w:p>
      <w:pPr>
        <w:spacing w:after="80" w:before="320"/>
      </w:pPr>
      <w:r>
        <w:rPr>
          <w:rFonts w:ascii="Calibri" w:cs="Calibri" w:eastAsia="Calibri" w:hAnsi="Calibri"/>
          <w:b/>
          <w:bCs/>
          <w:i w:val="false"/>
          <w:iCs w:val="false"/>
          <w:color w:val="1A6F73"/>
          <w:sz w:val="18"/>
          <w:szCs w:val="18"/>
        </w:rPr>
        <w:t xml:space="preserve">TESTIMONIALS (3-CARD CAROUSEL)</w:t>
      </w:r>
    </w:p>
    <w:p>
      <w:pPr>
        <w:spacing w:after="80" w:before="80" w:line="320"/>
        <w:jc w:val="left"/>
      </w:pPr>
      <w:r>
        <w:rPr>
          <w:rFonts w:ascii="Calibri" w:cs="Calibri" w:eastAsia="Calibri" w:hAnsi="Calibri"/>
          <w:b w:val="false"/>
          <w:bCs w:val="false"/>
          <w:i w:val="false"/>
          <w:iCs w:val="false"/>
          <w:color w:val="2C3E50"/>
          <w:sz w:val="22"/>
          <w:szCs w:val="22"/>
        </w:rPr>
        <w:t xml:space="preserve">Testimonials placeholder — to be collected from the Evergreen Rheumatology / Overlake patient base with their consent. Suggested questions to elicit testimonials: "What surprised you most about being treated here?" "How is this different from previous infusion experiences?" "What would you tell another patient who is nervous about their first infusion?"</w:t>
      </w:r>
    </w:p>
    <w:p>
      <w:pPr>
        <w:spacing w:after="80" w:before="320"/>
      </w:pPr>
      <w:r>
        <w:rPr>
          <w:rFonts w:ascii="Calibri" w:cs="Calibri" w:eastAsia="Calibri" w:hAnsi="Calibri"/>
          <w:b/>
          <w:bCs/>
          <w:i w:val="false"/>
          <w:iCs w:val="false"/>
          <w:color w:val="1A6F73"/>
          <w:sz w:val="18"/>
          <w:szCs w:val="18"/>
        </w:rPr>
        <w:t xml:space="preserve">BOTTOM CALL TO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73" w:sz="8"/>
              <w:left w:val="single" w:color="1A6F73" w:sz="24"/>
              <w:bottom w:val="single" w:color="1A6F73" w:sz="8"/>
              <w:right w:val="single" w:color="CFE0DE" w:sz="4"/>
            </w:tcBorders>
            <w:shd w:fill="F2F7F7" w:val="clear"/>
            <w:tcMar>
              <w:top w:type="dxa" w:w="200"/>
              <w:left w:type="dxa" w:w="240"/>
              <w:bottom w:type="dxa" w:w="200"/>
              <w:right w:type="dxa" w:w="240"/>
            </w:tcMar>
          </w:tcPr>
          <w:p>
            <w:pPr>
              <w:spacing w:after="80" w:before="0"/>
              <w:jc w:val="left"/>
            </w:pPr>
            <w:r>
              <w:rPr>
                <w:rFonts w:ascii="Calibri" w:cs="Calibri" w:eastAsia="Calibri" w:hAnsi="Calibri"/>
                <w:b/>
                <w:bCs/>
                <w:i w:val="false"/>
                <w:iCs w:val="false"/>
                <w:color w:val="0F3D47"/>
                <w:sz w:val="24"/>
                <w:szCs w:val="24"/>
              </w:rPr>
              <w:t xml:space="preserve">Ready to refer? Ready to be seen? We are ready for you.</w:t>
            </w:r>
          </w:p>
          <w:p>
            <w:pPr>
              <w:spacing w:after="0" w:before="40" w:line="320"/>
              <w:jc w:val="left"/>
            </w:pPr>
            <w:r>
              <w:rPr>
                <w:rFonts w:ascii="Calibri" w:cs="Calibri" w:eastAsia="Calibri" w:hAnsi="Calibri"/>
                <w:b w:val="false"/>
                <w:bCs w:val="false"/>
                <w:i w:val="false"/>
                <w:iCs w:val="false"/>
                <w:color w:val="2C3E50"/>
                <w:sz w:val="22"/>
                <w:szCs w:val="22"/>
              </w:rPr>
              <w:t xml:space="preserve">Call us at (425) 453-0766 ext. 105. Fax referrals to (425) 533-2540. Or send us a message and we will respond the same business day.</w:t>
            </w:r>
          </w:p>
        </w:tc>
      </w:tr>
    </w:tbl>
    <w:p>
      <w:r>
        <w:br w:type="page"/>
      </w:r>
    </w:p>
    <w:p>
      <w:pPr>
        <w:spacing w:after="120" w:before="360"/>
      </w:pPr>
      <w:r>
        <w:rPr>
          <w:rFonts w:ascii="Calibri" w:cs="Calibri" w:eastAsia="Calibri" w:hAnsi="Calibri"/>
          <w:b/>
          <w:bCs/>
          <w:i w:val="false"/>
          <w:iCs w:val="false"/>
          <w:color w:val="0F3D47"/>
          <w:sz w:val="36"/>
          <w:szCs w:val="36"/>
        </w:rPr>
        <w:t xml:space="preserve">Page 2 — About Us</w:t>
      </w:r>
    </w:p>
    <w:p>
      <w:pPr>
        <w:spacing w:after="240" w:before="0"/>
      </w:pPr>
      <w:r>
        <w:rPr>
          <w:rFonts w:ascii="Calibri" w:cs="Calibri" w:eastAsia="Calibri" w:hAnsi="Calibri"/>
          <w:b w:val="false"/>
          <w:bCs w:val="false"/>
          <w:i/>
          <w:iCs/>
          <w:color w:val="1A6F73"/>
          <w:sz w:val="24"/>
          <w:szCs w:val="24"/>
        </w:rPr>
        <w:t xml:space="preserve">Our Story. Our Standards. Our Team.</w:t>
      </w:r>
    </w:p>
    <w:p>
      <w:pPr>
        <w:spacing w:after="80" w:before="320"/>
      </w:pPr>
      <w:r>
        <w:rPr>
          <w:rFonts w:ascii="Calibri" w:cs="Calibri" w:eastAsia="Calibri" w:hAnsi="Calibri"/>
          <w:b/>
          <w:bCs/>
          <w:i w:val="false"/>
          <w:iCs w:val="false"/>
          <w:color w:val="1A6F73"/>
          <w:sz w:val="18"/>
          <w:szCs w:val="18"/>
        </w:rPr>
        <w:t xml:space="preserve">HERO / PAGE HEADER</w:t>
      </w:r>
    </w:p>
    <w:p>
      <w:pPr>
        <w:spacing w:after="120" w:before="240"/>
      </w:pPr>
      <w:r>
        <w:rPr>
          <w:rFonts w:ascii="Calibri" w:cs="Calibri" w:eastAsia="Calibri" w:hAnsi="Calibri"/>
          <w:b/>
          <w:bCs/>
          <w:i w:val="false"/>
          <w:iCs w:val="false"/>
          <w:color w:val="1A6F73"/>
          <w:sz w:val="26"/>
          <w:szCs w:val="26"/>
        </w:rPr>
        <w:t xml:space="preserve">A Better Infusion Experience, Built on Twenty Years of Specialty Care</w:t>
      </w:r>
    </w:p>
    <w:p>
      <w:pPr>
        <w:spacing w:after="80" w:before="320"/>
      </w:pPr>
      <w:r>
        <w:rPr>
          <w:rFonts w:ascii="Calibri" w:cs="Calibri" w:eastAsia="Calibri" w:hAnsi="Calibri"/>
          <w:b/>
          <w:bCs/>
          <w:i w:val="false"/>
          <w:iCs w:val="false"/>
          <w:color w:val="1A6F73"/>
          <w:sz w:val="18"/>
          <w:szCs w:val="18"/>
        </w:rPr>
        <w:t xml:space="preserve">OUR STORY</w:t>
      </w:r>
    </w:p>
    <w:p>
      <w:pPr>
        <w:spacing w:after="80" w:before="80" w:line="320"/>
        <w:jc w:val="left"/>
      </w:pPr>
      <w:r>
        <w:rPr>
          <w:rFonts w:ascii="Calibri" w:cs="Calibri" w:eastAsia="Calibri" w:hAnsi="Calibri"/>
          <w:b w:val="false"/>
          <w:bCs w:val="false"/>
          <w:i w:val="false"/>
          <w:iCs w:val="false"/>
          <w:color w:val="2C3E50"/>
          <w:sz w:val="22"/>
          <w:szCs w:val="22"/>
        </w:rPr>
        <w:t xml:space="preserve">Kirkland Specialty Infusion Center was founded by the physicians and team behind Evergreen Rheumatology and Overlake Arthritis and Osteoporosis Center — a Bellevue-area practice that has cared for thousands of patients with arthritis, autoimmune disease, gout, osteoporosis, and other rheumatologic conditions for more than two decades.</w:t>
      </w:r>
    </w:p>
    <w:p>
      <w:pPr>
        <w:spacing w:after="80" w:before="80" w:line="320"/>
        <w:jc w:val="left"/>
      </w:pPr>
      <w:r>
        <w:rPr>
          <w:rFonts w:ascii="Calibri" w:cs="Calibri" w:eastAsia="Calibri" w:hAnsi="Calibri"/>
          <w:b w:val="false"/>
          <w:bCs w:val="false"/>
          <w:i w:val="false"/>
          <w:iCs w:val="false"/>
          <w:color w:val="2C3E50"/>
          <w:sz w:val="22"/>
          <w:szCs w:val="22"/>
        </w:rPr>
        <w:t xml:space="preserve">Over the years, our patients told us the same thing in different words: they trusted our practice, but the infusion experience elsewhere was the weak link in their care. Long waits. Confusing billing. Staff who did not know their history. The unsettling feeling of receiving a complex medication without a physician readily available to answer questions or adjust the plan in real time.</w:t>
      </w:r>
    </w:p>
    <w:p>
      <w:pPr>
        <w:spacing w:after="80" w:before="80" w:line="320"/>
        <w:jc w:val="left"/>
      </w:pPr>
      <w:r>
        <w:rPr>
          <w:rFonts w:ascii="Calibri" w:cs="Calibri" w:eastAsia="Calibri" w:hAnsi="Calibri"/>
          <w:b w:val="false"/>
          <w:bCs w:val="false"/>
          <w:i w:val="false"/>
          <w:iCs w:val="false"/>
          <w:color w:val="2C3E50"/>
          <w:sz w:val="22"/>
          <w:szCs w:val="22"/>
        </w:rPr>
        <w:t xml:space="preserve">So we built our own infusion center. We built it the way we wished infusion centers were built when we refer our own family members. Physician-led. Financially advocated. Communicative. Calm. And open not just to our own patients, but to every referring physician in the region who wants their patients to receive the same standard of care.</w:t>
      </w:r>
    </w:p>
    <w:p>
      <w:pPr>
        <w:spacing w:after="80" w:before="320"/>
      </w:pPr>
      <w:r>
        <w:rPr>
          <w:rFonts w:ascii="Calibri" w:cs="Calibri" w:eastAsia="Calibri" w:hAnsi="Calibri"/>
          <w:b/>
          <w:bCs/>
          <w:i w:val="false"/>
          <w:iCs w:val="false"/>
          <w:color w:val="1A6F73"/>
          <w:sz w:val="18"/>
          <w:szCs w:val="18"/>
        </w:rPr>
        <w:t xml:space="preserve">WHAT MAKES US DIFFERENT</w:t>
      </w:r>
    </w:p>
    <w:p>
      <w:pPr>
        <w:spacing w:after="80" w:before="180"/>
      </w:pPr>
      <w:r>
        <w:rPr>
          <w:rFonts w:ascii="Calibri" w:cs="Calibri" w:eastAsia="Calibri" w:hAnsi="Calibri"/>
          <w:b/>
          <w:bCs/>
          <w:i w:val="false"/>
          <w:iCs w:val="false"/>
          <w:color w:val="0F3D47"/>
          <w:sz w:val="22"/>
          <w:szCs w:val="22"/>
        </w:rPr>
        <w:t xml:space="preserve">A Physician Is Always Present</w:t>
      </w:r>
    </w:p>
    <w:p>
      <w:pPr>
        <w:spacing w:after="80" w:before="80" w:line="320"/>
        <w:jc w:val="left"/>
      </w:pPr>
      <w:r>
        <w:rPr>
          <w:rFonts w:ascii="Calibri" w:cs="Calibri" w:eastAsia="Calibri" w:hAnsi="Calibri"/>
          <w:b w:val="false"/>
          <w:bCs w:val="false"/>
          <w:i w:val="false"/>
          <w:iCs w:val="false"/>
          <w:color w:val="2C3E50"/>
          <w:sz w:val="22"/>
          <w:szCs w:val="22"/>
        </w:rPr>
        <w:t xml:space="preserve">Every infusion administered at our center is supervised in real time by a physician or licensed provider physically present in the suite. This is not the industry standard. In many outpatient infusion centers, a supervising physician is on call from another building, or even another city, available by phone if a reaction occurs. We do not consider that good enough for our patients, and we do not consider it good enough for yours. The physician is here. In the building. Every infusion. Every day.</w:t>
      </w:r>
    </w:p>
    <w:p>
      <w:pPr>
        <w:spacing w:after="80" w:before="180"/>
      </w:pPr>
      <w:r>
        <w:rPr>
          <w:rFonts w:ascii="Calibri" w:cs="Calibri" w:eastAsia="Calibri" w:hAnsi="Calibri"/>
          <w:b/>
          <w:bCs/>
          <w:i w:val="false"/>
          <w:iCs w:val="false"/>
          <w:color w:val="0F3D47"/>
          <w:sz w:val="22"/>
          <w:szCs w:val="22"/>
        </w:rPr>
        <w:t xml:space="preserve">We Close the Loop</w:t>
      </w:r>
    </w:p>
    <w:p>
      <w:pPr>
        <w:spacing w:after="80" w:before="80" w:line="320"/>
        <w:jc w:val="left"/>
      </w:pPr>
      <w:r>
        <w:rPr>
          <w:rFonts w:ascii="Calibri" w:cs="Calibri" w:eastAsia="Calibri" w:hAnsi="Calibri"/>
          <w:b w:val="false"/>
          <w:bCs w:val="false"/>
          <w:i w:val="false"/>
          <w:iCs w:val="false"/>
          <w:color w:val="2C3E50"/>
          <w:sz w:val="22"/>
          <w:szCs w:val="22"/>
        </w:rPr>
        <w:t xml:space="preserve">After every infusion, your referring office receives a note confirming the medication was administered, how the patient tolerated it, any clinical observations worth flagging, and the date of the next scheduled visit. You will never wonder whether your patient showed up. You will never be surprised at the follow-up appointment.</w:t>
      </w:r>
    </w:p>
    <w:p>
      <w:pPr>
        <w:spacing w:after="80" w:before="180"/>
      </w:pPr>
      <w:r>
        <w:rPr>
          <w:rFonts w:ascii="Calibri" w:cs="Calibri" w:eastAsia="Calibri" w:hAnsi="Calibri"/>
          <w:b/>
          <w:bCs/>
          <w:i w:val="false"/>
          <w:iCs w:val="false"/>
          <w:color w:val="0F3D47"/>
          <w:sz w:val="22"/>
          <w:szCs w:val="22"/>
        </w:rPr>
        <w:t xml:space="preserve">We Handle Everything Your Office Should Not Have To</w:t>
      </w:r>
    </w:p>
    <w:p>
      <w:pPr>
        <w:spacing w:after="80" w:before="80" w:line="320"/>
        <w:jc w:val="left"/>
      </w:pPr>
      <w:r>
        <w:rPr>
          <w:rFonts w:ascii="Calibri" w:cs="Calibri" w:eastAsia="Calibri" w:hAnsi="Calibri"/>
          <w:b w:val="false"/>
          <w:bCs w:val="false"/>
          <w:i w:val="false"/>
          <w:iCs w:val="false"/>
          <w:color w:val="2C3E50"/>
          <w:sz w:val="22"/>
          <w:szCs w:val="22"/>
        </w:rPr>
        <w:t xml:space="preserve">Prior authorizations. Peer-to-peer reviews. Insurance appeals. Manufacturer copay cards. Patient assistance program applications. Foundation grant applications. Pre-infusion lab and DEXA coordination. Patient education calls. Same-day scheduling adjustments. All of it. Your staff sends the referral. We do the rest.</w:t>
      </w:r>
    </w:p>
    <w:p>
      <w:pPr>
        <w:spacing w:after="80" w:before="180"/>
      </w:pPr>
      <w:r>
        <w:rPr>
          <w:rFonts w:ascii="Calibri" w:cs="Calibri" w:eastAsia="Calibri" w:hAnsi="Calibri"/>
          <w:b/>
          <w:bCs/>
          <w:i w:val="false"/>
          <w:iCs w:val="false"/>
          <w:color w:val="0F3D47"/>
          <w:sz w:val="22"/>
          <w:szCs w:val="22"/>
        </w:rPr>
        <w:t xml:space="preserve">Patients Arrive Prepared</w:t>
      </w:r>
    </w:p>
    <w:p>
      <w:pPr>
        <w:spacing w:after="80" w:before="80" w:line="320"/>
        <w:jc w:val="left"/>
      </w:pPr>
      <w:r>
        <w:rPr>
          <w:rFonts w:ascii="Calibri" w:cs="Calibri" w:eastAsia="Calibri" w:hAnsi="Calibri"/>
          <w:b w:val="false"/>
          <w:bCs w:val="false"/>
          <w:i w:val="false"/>
          <w:iCs w:val="false"/>
          <w:color w:val="2C3E50"/>
          <w:sz w:val="22"/>
          <w:szCs w:val="22"/>
        </w:rPr>
        <w:t xml:space="preserve">Before every infusion, our team confirms labs are current, screens the patient for recent illness or vaccination, verifies premedications are in place, and reviews the patient's clinical baseline. Patients arrive ready, infusion chairs stay productive, and treatment plans stay on schedule.</w:t>
      </w:r>
    </w:p>
    <w:p>
      <w:pPr>
        <w:spacing w:after="80" w:before="180"/>
      </w:pPr>
      <w:r>
        <w:rPr>
          <w:rFonts w:ascii="Calibri" w:cs="Calibri" w:eastAsia="Calibri" w:hAnsi="Calibri"/>
          <w:b/>
          <w:bCs/>
          <w:i w:val="false"/>
          <w:iCs w:val="false"/>
          <w:color w:val="0F3D47"/>
          <w:sz w:val="22"/>
          <w:szCs w:val="22"/>
        </w:rPr>
        <w:t xml:space="preserve">We Keep Patients on Schedule</w:t>
      </w:r>
    </w:p>
    <w:p>
      <w:pPr>
        <w:spacing w:after="80" w:before="80" w:line="320"/>
        <w:jc w:val="left"/>
      </w:pPr>
      <w:r>
        <w:rPr>
          <w:rFonts w:ascii="Calibri" w:cs="Calibri" w:eastAsia="Calibri" w:hAnsi="Calibri"/>
          <w:b w:val="false"/>
          <w:bCs w:val="false"/>
          <w:i w:val="false"/>
          <w:iCs w:val="false"/>
          <w:color w:val="2C3E50"/>
          <w:sz w:val="22"/>
          <w:szCs w:val="22"/>
        </w:rPr>
        <w:t xml:space="preserve">We book the next infusion before the patient leaves the chair. We send reminders. We re-verify insurance well in advance. We anticipate prior authorization renewals before they expire. Adherence is the single biggest determinant of long-term outcomes in chronic immunologic and inflammatory disease — and we treat it that way.</w:t>
      </w:r>
    </w:p>
    <w:p>
      <w:pPr>
        <w:spacing w:after="80" w:before="320"/>
      </w:pPr>
      <w:r>
        <w:rPr>
          <w:rFonts w:ascii="Calibri" w:cs="Calibri" w:eastAsia="Calibri" w:hAnsi="Calibri"/>
          <w:b/>
          <w:bCs/>
          <w:i w:val="false"/>
          <w:iCs w:val="false"/>
          <w:color w:val="1A6F73"/>
          <w:sz w:val="18"/>
          <w:szCs w:val="18"/>
        </w:rPr>
        <w:t xml:space="preserve">OUR TEAM</w:t>
      </w:r>
    </w:p>
    <w:p>
      <w:pPr>
        <w:spacing w:after="80" w:before="80" w:line="320"/>
        <w:jc w:val="left"/>
      </w:pPr>
      <w:r>
        <w:rPr>
          <w:rFonts w:ascii="Calibri" w:cs="Calibri" w:eastAsia="Calibri" w:hAnsi="Calibri"/>
          <w:b w:val="false"/>
          <w:bCs w:val="false"/>
          <w:i w:val="false"/>
          <w:iCs w:val="false"/>
          <w:color w:val="2C3E50"/>
          <w:sz w:val="22"/>
          <w:szCs w:val="22"/>
        </w:rPr>
        <w:t xml:space="preserve">Our infusion center is staffed by experienced infusion nurses and supervised by board-certified physicians from our affiliated rheumatology practice. Detailed bios for each physician and clinical leader will live on this section of the website with professional photographs.</w:t>
      </w:r>
    </w:p>
    <w:p>
      <w:pPr>
        <w:spacing w:after="80" w:before="80" w:line="320"/>
        <w:jc w:val="left"/>
      </w:pPr>
      <w:r>
        <w:rPr>
          <w:rFonts w:ascii="Calibri" w:cs="Calibri" w:eastAsia="Calibri" w:hAnsi="Calibri"/>
          <w:b w:val="false"/>
          <w:bCs w:val="false"/>
          <w:i w:val="false"/>
          <w:iCs w:val="false"/>
          <w:color w:val="2C3E50"/>
          <w:sz w:val="22"/>
          <w:szCs w:val="22"/>
        </w:rPr>
        <w:t xml:space="preserve">[Placeholder: insert physician bios with credentials, training, areas of clinical focus, and a brief personal statement. At minimum: lead physician(s), nurse manager, clinical pharmacist if applicable, financial counselor. Photography to match the warm, well-lit, real-people aesthetic used on the Lakeside Research site.]</w:t>
      </w:r>
    </w:p>
    <w:p>
      <w:pPr>
        <w:spacing w:after="80" w:before="320"/>
      </w:pPr>
      <w:r>
        <w:rPr>
          <w:rFonts w:ascii="Calibri" w:cs="Calibri" w:eastAsia="Calibri" w:hAnsi="Calibri"/>
          <w:b/>
          <w:bCs/>
          <w:i w:val="false"/>
          <w:iCs w:val="false"/>
          <w:color w:val="1A6F73"/>
          <w:sz w:val="18"/>
          <w:szCs w:val="18"/>
        </w:rPr>
        <w:t xml:space="preserve">OUR AFFILIATED PRACTICE</w:t>
      </w:r>
    </w:p>
    <w:p>
      <w:pPr>
        <w:spacing w:after="80" w:before="80" w:line="320"/>
        <w:jc w:val="left"/>
      </w:pPr>
      <w:r>
        <w:rPr>
          <w:rFonts w:ascii="Calibri" w:cs="Calibri" w:eastAsia="Calibri" w:hAnsi="Calibri"/>
          <w:b w:val="false"/>
          <w:bCs w:val="false"/>
          <w:i w:val="false"/>
          <w:iCs w:val="false"/>
          <w:color w:val="2C3E50"/>
          <w:sz w:val="22"/>
          <w:szCs w:val="22"/>
        </w:rPr>
        <w:t xml:space="preserve">Kirkland Specialty Infusion Center is affiliated with Evergreen Rheumatology, the Kirkland branch of the Overlake Arthritis and Osteoporosis Center family of practices. Patients receive the same physicians, the same clinical culture, and the same standard of care across both locations. Evergreen Rheumatology focuses on rheumatologic and immunologic disease; Kirkland Specialty Infusion Center serves patients across rheumatology, gastroenterology, oncology, dermatology, neurology, and other specialties referred by physicians throughout the region.</w:t>
      </w:r>
    </w:p>
    <w:p>
      <w:r>
        <w:br w:type="page"/>
      </w:r>
    </w:p>
    <w:p>
      <w:pPr>
        <w:spacing w:after="120" w:before="360"/>
      </w:pPr>
      <w:r>
        <w:rPr>
          <w:rFonts w:ascii="Calibri" w:cs="Calibri" w:eastAsia="Calibri" w:hAnsi="Calibri"/>
          <w:b/>
          <w:bCs/>
          <w:i w:val="false"/>
          <w:iCs w:val="false"/>
          <w:color w:val="0F3D47"/>
          <w:sz w:val="36"/>
          <w:szCs w:val="36"/>
        </w:rPr>
        <w:t xml:space="preserve">Page 3 — Specialties Served</w:t>
      </w:r>
    </w:p>
    <w:p>
      <w:pPr>
        <w:spacing w:after="240" w:before="0"/>
      </w:pPr>
      <w:r>
        <w:rPr>
          <w:rFonts w:ascii="Calibri" w:cs="Calibri" w:eastAsia="Calibri" w:hAnsi="Calibri"/>
          <w:b w:val="false"/>
          <w:bCs w:val="false"/>
          <w:i/>
          <w:iCs/>
          <w:color w:val="1A6F73"/>
          <w:sz w:val="24"/>
          <w:szCs w:val="24"/>
        </w:rPr>
        <w:t xml:space="preserve">A specialty infusion center, in the truest sense of the word</w:t>
      </w:r>
    </w:p>
    <w:p>
      <w:pPr>
        <w:spacing w:after="160" w:before="80" w:line="340"/>
        <w:jc w:val="left"/>
      </w:pPr>
      <w:r>
        <w:rPr>
          <w:rFonts w:ascii="Calibri" w:cs="Calibri" w:eastAsia="Calibri" w:hAnsi="Calibri"/>
          <w:b w:val="false"/>
          <w:bCs w:val="false"/>
          <w:i w:val="false"/>
          <w:iCs w:val="false"/>
          <w:color w:val="2C3E50"/>
          <w:sz w:val="24"/>
          <w:szCs w:val="24"/>
        </w:rPr>
        <w:t xml:space="preserve">Our formulary and clinical expertise span eight medical specialties. Whether your patient needs a biologic for rheumatoid arthritis, an investigational therapy for thyroid eye disease, an IVIG infusion for an immunodeficiency, or a bone-building agent for severe osteoporosis, we are equipped, trained, and ready.</w:t>
      </w:r>
    </w:p>
    <w:p>
      <w:pPr>
        <w:spacing w:after="80" w:before="180"/>
      </w:pPr>
      <w:r>
        <w:rPr>
          <w:rFonts w:ascii="Calibri" w:cs="Calibri" w:eastAsia="Calibri" w:hAnsi="Calibri"/>
          <w:b/>
          <w:bCs/>
          <w:i w:val="false"/>
          <w:iCs w:val="false"/>
          <w:color w:val="0F3D47"/>
          <w:sz w:val="22"/>
          <w:szCs w:val="22"/>
        </w:rPr>
        <w:t xml:space="preserve">Rheumatology</w:t>
      </w:r>
    </w:p>
    <w:p>
      <w:pPr>
        <w:spacing w:after="80" w:before="80" w:line="320"/>
        <w:jc w:val="left"/>
      </w:pPr>
      <w:r>
        <w:rPr>
          <w:rFonts w:ascii="Calibri" w:cs="Calibri" w:eastAsia="Calibri" w:hAnsi="Calibri"/>
          <w:b w:val="false"/>
          <w:bCs w:val="false"/>
          <w:i w:val="false"/>
          <w:iCs w:val="false"/>
          <w:color w:val="2C3E50"/>
          <w:sz w:val="22"/>
          <w:szCs w:val="22"/>
        </w:rPr>
        <w:t xml:space="preserve">Biologic and non-biologic infusions for rheumatoid arthritis, psoriatic arthritis, axial spondyloarthritis, lupus, vasculitis, gout, and other systemic inflammatory diseases. Therapies include Actemra, Benlysta, Cimzia, Cosentyx, Ilaris, Krystexxa, Orencia, Remicade, Rituxan, Simponi Aria, and Stelara.</w:t>
      </w:r>
    </w:p>
    <w:p>
      <w:pPr>
        <w:spacing w:after="80" w:before="180"/>
      </w:pPr>
      <w:r>
        <w:rPr>
          <w:rFonts w:ascii="Calibri" w:cs="Calibri" w:eastAsia="Calibri" w:hAnsi="Calibri"/>
          <w:b/>
          <w:bCs/>
          <w:i w:val="false"/>
          <w:iCs w:val="false"/>
          <w:color w:val="0F3D47"/>
          <w:sz w:val="22"/>
          <w:szCs w:val="22"/>
        </w:rPr>
        <w:t xml:space="preserve">Gastroenterology</w:t>
      </w:r>
    </w:p>
    <w:p>
      <w:pPr>
        <w:spacing w:after="80" w:before="80" w:line="320"/>
        <w:jc w:val="left"/>
      </w:pPr>
      <w:r>
        <w:rPr>
          <w:rFonts w:ascii="Calibri" w:cs="Calibri" w:eastAsia="Calibri" w:hAnsi="Calibri"/>
          <w:b w:val="false"/>
          <w:bCs w:val="false"/>
          <w:i w:val="false"/>
          <w:iCs w:val="false"/>
          <w:color w:val="2C3E50"/>
          <w:sz w:val="22"/>
          <w:szCs w:val="22"/>
        </w:rPr>
        <w:t xml:space="preserve">Biologic infusions for Crohn's disease, ulcerative colitis, and other inflammatory bowel disease. Therapies include Remicade, Stelara, Simponi Aria, and related agents.</w:t>
      </w:r>
    </w:p>
    <w:p>
      <w:pPr>
        <w:spacing w:after="80" w:before="180"/>
      </w:pPr>
      <w:r>
        <w:rPr>
          <w:rFonts w:ascii="Calibri" w:cs="Calibri" w:eastAsia="Calibri" w:hAnsi="Calibri"/>
          <w:b/>
          <w:bCs/>
          <w:i w:val="false"/>
          <w:iCs w:val="false"/>
          <w:color w:val="0F3D47"/>
          <w:sz w:val="22"/>
          <w:szCs w:val="22"/>
        </w:rPr>
        <w:t xml:space="preserve">Oncology / Hematology</w:t>
      </w:r>
    </w:p>
    <w:p>
      <w:pPr>
        <w:spacing w:after="80" w:before="80" w:line="320"/>
        <w:jc w:val="left"/>
      </w:pPr>
      <w:r>
        <w:rPr>
          <w:rFonts w:ascii="Calibri" w:cs="Calibri" w:eastAsia="Calibri" w:hAnsi="Calibri"/>
          <w:b w:val="false"/>
          <w:bCs w:val="false"/>
          <w:i w:val="false"/>
          <w:iCs w:val="false"/>
          <w:color w:val="2C3E50"/>
          <w:sz w:val="22"/>
          <w:szCs w:val="22"/>
        </w:rPr>
        <w:t xml:space="preserve">Selected supportive care and immunologic infusions including Rituxan for hematologic indications, IVIG (Octagam) for hematologic and immune conditions, and iron infusions for chemotherapy-related and chronic anemia.</w:t>
      </w:r>
    </w:p>
    <w:p>
      <w:pPr>
        <w:spacing w:after="80" w:before="180"/>
      </w:pPr>
      <w:r>
        <w:rPr>
          <w:rFonts w:ascii="Calibri" w:cs="Calibri" w:eastAsia="Calibri" w:hAnsi="Calibri"/>
          <w:b/>
          <w:bCs/>
          <w:i w:val="false"/>
          <w:iCs w:val="false"/>
          <w:color w:val="0F3D47"/>
          <w:sz w:val="22"/>
          <w:szCs w:val="22"/>
        </w:rPr>
        <w:t xml:space="preserve">Dermatology</w:t>
      </w:r>
    </w:p>
    <w:p>
      <w:pPr>
        <w:spacing w:after="80" w:before="80" w:line="320"/>
        <w:jc w:val="left"/>
      </w:pPr>
      <w:r>
        <w:rPr>
          <w:rFonts w:ascii="Calibri" w:cs="Calibri" w:eastAsia="Calibri" w:hAnsi="Calibri"/>
          <w:b w:val="false"/>
          <w:bCs w:val="false"/>
          <w:i w:val="false"/>
          <w:iCs w:val="false"/>
          <w:color w:val="2C3E50"/>
          <w:sz w:val="22"/>
          <w:szCs w:val="22"/>
        </w:rPr>
        <w:t xml:space="preserve">Biologic infusions for severe psoriasis, hidradenitis suppurativa, and other immune-mediated skin disease. Therapies include Cosentyx, Ilumya, Remicade, and Stelara.</w:t>
      </w:r>
    </w:p>
    <w:p>
      <w:pPr>
        <w:spacing w:after="80" w:before="180"/>
      </w:pPr>
      <w:r>
        <w:rPr>
          <w:rFonts w:ascii="Calibri" w:cs="Calibri" w:eastAsia="Calibri" w:hAnsi="Calibri"/>
          <w:b/>
          <w:bCs/>
          <w:i w:val="false"/>
          <w:iCs w:val="false"/>
          <w:color w:val="0F3D47"/>
          <w:sz w:val="22"/>
          <w:szCs w:val="22"/>
        </w:rPr>
        <w:t xml:space="preserve">Neurology</w:t>
      </w:r>
    </w:p>
    <w:p>
      <w:pPr>
        <w:spacing w:after="80" w:before="80" w:line="320"/>
        <w:jc w:val="left"/>
      </w:pPr>
      <w:r>
        <w:rPr>
          <w:rFonts w:ascii="Calibri" w:cs="Calibri" w:eastAsia="Calibri" w:hAnsi="Calibri"/>
          <w:b w:val="false"/>
          <w:bCs w:val="false"/>
          <w:i w:val="false"/>
          <w:iCs w:val="false"/>
          <w:color w:val="2C3E50"/>
          <w:sz w:val="22"/>
          <w:szCs w:val="22"/>
        </w:rPr>
        <w:t xml:space="preserve">Therapies for multiple sclerosis, neuromyelitis optica spectrum disorder, myasthenia gravis, chronic inflammatory demyelinating polyneuropathy (CIDP), and other neuroinflammatory and neuromuscular conditions. Therapies include Ocrevus, Uplizna, Vyvgart, and IVIG (Octagam).</w:t>
      </w:r>
    </w:p>
    <w:p>
      <w:pPr>
        <w:spacing w:after="80" w:before="180"/>
      </w:pPr>
      <w:r>
        <w:rPr>
          <w:rFonts w:ascii="Calibri" w:cs="Calibri" w:eastAsia="Calibri" w:hAnsi="Calibri"/>
          <w:b/>
          <w:bCs/>
          <w:i w:val="false"/>
          <w:iCs w:val="false"/>
          <w:color w:val="0F3D47"/>
          <w:sz w:val="22"/>
          <w:szCs w:val="22"/>
        </w:rPr>
        <w:t xml:space="preserve">Osteoporosis &amp; Bone Health</w:t>
      </w:r>
    </w:p>
    <w:p>
      <w:pPr>
        <w:spacing w:after="80" w:before="80" w:line="320"/>
        <w:jc w:val="left"/>
      </w:pPr>
      <w:r>
        <w:rPr>
          <w:rFonts w:ascii="Calibri" w:cs="Calibri" w:eastAsia="Calibri" w:hAnsi="Calibri"/>
          <w:b w:val="false"/>
          <w:bCs w:val="false"/>
          <w:i w:val="false"/>
          <w:iCs w:val="false"/>
          <w:color w:val="2C3E50"/>
          <w:sz w:val="22"/>
          <w:szCs w:val="22"/>
        </w:rPr>
        <w:t xml:space="preserve">Anabolic and antiresorptive bone-building infusions for patients with severe osteoporosis or fracture history. Therapies include Evenity and related agents, with DEXA coordination available.</w:t>
      </w:r>
    </w:p>
    <w:p>
      <w:pPr>
        <w:spacing w:after="80" w:before="180"/>
      </w:pPr>
      <w:r>
        <w:rPr>
          <w:rFonts w:ascii="Calibri" w:cs="Calibri" w:eastAsia="Calibri" w:hAnsi="Calibri"/>
          <w:b/>
          <w:bCs/>
          <w:i w:val="false"/>
          <w:iCs w:val="false"/>
          <w:color w:val="0F3D47"/>
          <w:sz w:val="22"/>
          <w:szCs w:val="22"/>
        </w:rPr>
        <w:t xml:space="preserve">Allergy &amp; Immunology</w:t>
      </w:r>
    </w:p>
    <w:p>
      <w:pPr>
        <w:spacing w:after="80" w:before="80" w:line="320"/>
        <w:jc w:val="left"/>
      </w:pPr>
      <w:r>
        <w:rPr>
          <w:rFonts w:ascii="Calibri" w:cs="Calibri" w:eastAsia="Calibri" w:hAnsi="Calibri"/>
          <w:b w:val="false"/>
          <w:bCs w:val="false"/>
          <w:i w:val="false"/>
          <w:iCs w:val="false"/>
          <w:color w:val="2C3E50"/>
          <w:sz w:val="22"/>
          <w:szCs w:val="22"/>
        </w:rPr>
        <w:t xml:space="preserve">IVIG (Octagam) for primary and secondary immunodeficiency, and biologic therapies for severe allergic and immunologic disease.</w:t>
      </w:r>
    </w:p>
    <w:p>
      <w:pPr>
        <w:spacing w:after="80" w:before="180"/>
      </w:pPr>
      <w:r>
        <w:rPr>
          <w:rFonts w:ascii="Calibri" w:cs="Calibri" w:eastAsia="Calibri" w:hAnsi="Calibri"/>
          <w:b/>
          <w:bCs/>
          <w:i w:val="false"/>
          <w:iCs w:val="false"/>
          <w:color w:val="0F3D47"/>
          <w:sz w:val="22"/>
          <w:szCs w:val="22"/>
        </w:rPr>
        <w:t xml:space="preserve">Endocrinology</w:t>
      </w:r>
    </w:p>
    <w:p>
      <w:pPr>
        <w:spacing w:after="80" w:before="80" w:line="320"/>
        <w:jc w:val="left"/>
      </w:pPr>
      <w:r>
        <w:rPr>
          <w:rFonts w:ascii="Calibri" w:cs="Calibri" w:eastAsia="Calibri" w:hAnsi="Calibri"/>
          <w:b w:val="false"/>
          <w:bCs w:val="false"/>
          <w:i w:val="false"/>
          <w:iCs w:val="false"/>
          <w:color w:val="2C3E50"/>
          <w:sz w:val="22"/>
          <w:szCs w:val="22"/>
        </w:rPr>
        <w:t xml:space="preserve">Specialty infusions including Tepezza for thyroid eye disease, with full prior authorization and financial advocacy support.</w:t>
      </w:r>
    </w:p>
    <w:p>
      <w:pPr>
        <w:spacing w:after="80" w:before="320"/>
      </w:pPr>
      <w:r>
        <w:rPr>
          <w:rFonts w:ascii="Calibri" w:cs="Calibri" w:eastAsia="Calibri" w:hAnsi="Calibri"/>
          <w:b/>
          <w:bCs/>
          <w:i w:val="false"/>
          <w:iCs w:val="false"/>
          <w:color w:val="1A6F73"/>
          <w:sz w:val="18"/>
          <w:szCs w:val="18"/>
        </w:rPr>
        <w:t xml:space="preserve">DON'T SEE WHAT YOU NEED?</w:t>
      </w:r>
    </w:p>
    <w:p>
      <w:pPr>
        <w:spacing w:after="80" w:before="80" w:line="320"/>
        <w:jc w:val="left"/>
      </w:pPr>
      <w:r>
        <w:rPr>
          <w:rFonts w:ascii="Calibri" w:cs="Calibri" w:eastAsia="Calibri" w:hAnsi="Calibri"/>
          <w:b w:val="false"/>
          <w:bCs w:val="false"/>
          <w:i w:val="false"/>
          <w:iCs w:val="false"/>
          <w:color w:val="2C3E50"/>
          <w:sz w:val="22"/>
          <w:szCs w:val="22"/>
        </w:rPr>
        <w:t xml:space="preserve">Our formulary is broader than this list. We routinely add new agents as we receive referrals — provided the medication is appropriate for outpatient infusion in a physician-supervised setting. Call us at (425) 453-0766 ext. 105 to discuss a specific therapy, and we will let you know whether we can accommodate the referral.</w:t>
      </w:r>
    </w:p>
    <w:p>
      <w:r>
        <w:br w:type="page"/>
      </w:r>
    </w:p>
    <w:p>
      <w:pPr>
        <w:spacing w:after="120" w:before="360"/>
      </w:pPr>
      <w:r>
        <w:rPr>
          <w:rFonts w:ascii="Calibri" w:cs="Calibri" w:eastAsia="Calibri" w:hAnsi="Calibri"/>
          <w:b/>
          <w:bCs/>
          <w:i w:val="false"/>
          <w:iCs w:val="false"/>
          <w:color w:val="0F3D47"/>
          <w:sz w:val="36"/>
          <w:szCs w:val="36"/>
        </w:rPr>
        <w:t xml:space="preserve">Page 4 — Medications &amp; Therapies</w:t>
      </w:r>
    </w:p>
    <w:p>
      <w:pPr>
        <w:spacing w:after="240" w:before="0"/>
      </w:pPr>
      <w:r>
        <w:rPr>
          <w:rFonts w:ascii="Calibri" w:cs="Calibri" w:eastAsia="Calibri" w:hAnsi="Calibri"/>
          <w:b w:val="false"/>
          <w:bCs w:val="false"/>
          <w:i/>
          <w:iCs/>
          <w:color w:val="1A6F73"/>
          <w:sz w:val="24"/>
          <w:szCs w:val="24"/>
        </w:rPr>
        <w:t xml:space="preserve">Our specialty formulary and cash-pay services</w:t>
      </w:r>
    </w:p>
    <w:p>
      <w:pPr>
        <w:spacing w:after="80" w:before="320"/>
      </w:pPr>
      <w:r>
        <w:rPr>
          <w:rFonts w:ascii="Calibri" w:cs="Calibri" w:eastAsia="Calibri" w:hAnsi="Calibri"/>
          <w:b/>
          <w:bCs/>
          <w:i w:val="false"/>
          <w:iCs w:val="false"/>
          <w:color w:val="1A6F73"/>
          <w:sz w:val="18"/>
          <w:szCs w:val="18"/>
        </w:rPr>
        <w:t xml:space="preserve">SPECIALTY INFUSION DRUGS</w:t>
      </w:r>
    </w:p>
    <w:p>
      <w:pPr>
        <w:spacing w:after="80" w:before="80" w:line="320"/>
        <w:jc w:val="left"/>
      </w:pPr>
      <w:r>
        <w:rPr>
          <w:rFonts w:ascii="Calibri" w:cs="Calibri" w:eastAsia="Calibri" w:hAnsi="Calibri"/>
          <w:b w:val="false"/>
          <w:bCs w:val="false"/>
          <w:i w:val="false"/>
          <w:iCs w:val="false"/>
          <w:color w:val="2C3E50"/>
          <w:sz w:val="22"/>
          <w:szCs w:val="22"/>
        </w:rPr>
        <w:t xml:space="preserve">We administer a comprehensive specialty infusion formulary covering the most commonly prescribed biologic, biosimilar, and immunologic therapies. All infusions are administered under physician supervision, with full pre-infusion safety review and post-infusion communication back to the referring office.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FE0DE" w:sz="4"/>
              <w:left w:val="single" w:color="CFE0DE" w:sz="4"/>
              <w:bottom w:val="single" w:color="CFE0DE" w:sz="4"/>
              <w:right w:val="single" w:color="CFE0DE" w:sz="4"/>
            </w:tcBorders>
            <w:shd w:fill="FFFFFF" w:val="clear"/>
            <w:tcMar>
              <w:top w:type="dxa" w:w="140"/>
              <w:left w:type="dxa" w:w="200"/>
              <w:bottom w:type="dxa" w:w="140"/>
              <w:right w:type="dxa" w:w="200"/>
            </w:tcMar>
          </w:tcPr>
          <w:p>
            <w:pPr>
              <w:spacing w:after="40" w:before="0"/>
              <w:jc w:val="left"/>
            </w:pPr>
            <w:r>
              <w:rPr>
                <w:rFonts w:ascii="Calibri" w:cs="Calibri" w:eastAsia="Calibri" w:hAnsi="Calibri"/>
                <w:b/>
                <w:bCs/>
                <w:i w:val="false"/>
                <w:iCs w:val="false"/>
                <w:color w:val="1A6F73"/>
                <w:sz w:val="22"/>
                <w:szCs w:val="22"/>
              </w:rPr>
              <w:t xml:space="preserve">Actemra</w:t>
            </w:r>
          </w:p>
          <w:p>
            <w:pPr>
              <w:spacing w:after="0" w:before="0" w:line="280"/>
              <w:jc w:val="left"/>
            </w:pPr>
            <w:r>
              <w:rPr>
                <w:rFonts w:ascii="Calibri" w:cs="Calibri" w:eastAsia="Calibri" w:hAnsi="Calibri"/>
                <w:b w:val="false"/>
                <w:bCs w:val="false"/>
                <w:i w:val="false"/>
                <w:iCs w:val="false"/>
                <w:color w:val="2C3E50"/>
                <w:sz w:val="20"/>
                <w:szCs w:val="20"/>
              </w:rPr>
              <w:t xml:space="preserve">Tocilizumab — rheumatoid arthritis, giant cell arteritis, systemic juvenile idiopathic arthritis, cytokine release syndrome</w:t>
            </w:r>
          </w:p>
        </w:tc>
        <w:tc>
          <w:tcPr>
            <w:tcW w:type="dxa" w:w="4680"/>
            <w:tcBorders>
              <w:top w:val="single" w:color="CFE0DE" w:sz="4"/>
              <w:left w:val="single" w:color="CFE0DE" w:sz="4"/>
              <w:bottom w:val="single" w:color="CFE0DE" w:sz="4"/>
              <w:right w:val="single" w:color="CFE0DE" w:sz="4"/>
            </w:tcBorders>
            <w:shd w:fill="FFFFFF" w:val="clear"/>
            <w:tcMar>
              <w:top w:type="dxa" w:w="140"/>
              <w:left w:type="dxa" w:w="200"/>
              <w:bottom w:type="dxa" w:w="140"/>
              <w:right w:type="dxa" w:w="200"/>
            </w:tcMar>
          </w:tcPr>
          <w:p>
            <w:pPr>
              <w:spacing w:after="40" w:before="0"/>
              <w:jc w:val="left"/>
            </w:pPr>
            <w:r>
              <w:rPr>
                <w:rFonts w:ascii="Calibri" w:cs="Calibri" w:eastAsia="Calibri" w:hAnsi="Calibri"/>
                <w:b/>
                <w:bCs/>
                <w:i w:val="false"/>
                <w:iCs w:val="false"/>
                <w:color w:val="1A6F73"/>
                <w:sz w:val="22"/>
                <w:szCs w:val="22"/>
              </w:rPr>
              <w:t xml:space="preserve">Benlysta</w:t>
            </w:r>
          </w:p>
          <w:p>
            <w:pPr>
              <w:spacing w:after="0" w:before="0" w:line="280"/>
              <w:jc w:val="left"/>
            </w:pPr>
            <w:r>
              <w:rPr>
                <w:rFonts w:ascii="Calibri" w:cs="Calibri" w:eastAsia="Calibri" w:hAnsi="Calibri"/>
                <w:b w:val="false"/>
                <w:bCs w:val="false"/>
                <w:i w:val="false"/>
                <w:iCs w:val="false"/>
                <w:color w:val="2C3E50"/>
                <w:sz w:val="20"/>
                <w:szCs w:val="20"/>
              </w:rPr>
              <w:t xml:space="preserve">Belimumab — systemic lupus erythematosus, lupus nephritis</w:t>
            </w:r>
          </w:p>
        </w:tc>
      </w:tr>
      <w:tr>
        <w:tc>
          <w:tcPr>
            <w:tcW w:type="dxa" w:w="4680"/>
            <w:tcBorders>
              <w:top w:val="single" w:color="CFE0DE" w:sz="4"/>
              <w:left w:val="single" w:color="CFE0DE" w:sz="4"/>
              <w:bottom w:val="single" w:color="CFE0DE" w:sz="4"/>
              <w:right w:val="single" w:color="CFE0DE" w:sz="4"/>
            </w:tcBorders>
            <w:shd w:fill="FFFFFF" w:val="clear"/>
            <w:tcMar>
              <w:top w:type="dxa" w:w="140"/>
              <w:left w:type="dxa" w:w="200"/>
              <w:bottom w:type="dxa" w:w="140"/>
              <w:right w:type="dxa" w:w="200"/>
            </w:tcMar>
          </w:tcPr>
          <w:p>
            <w:pPr>
              <w:spacing w:after="40" w:before="0"/>
              <w:jc w:val="left"/>
            </w:pPr>
            <w:r>
              <w:rPr>
                <w:rFonts w:ascii="Calibri" w:cs="Calibri" w:eastAsia="Calibri" w:hAnsi="Calibri"/>
                <w:b/>
                <w:bCs/>
                <w:i w:val="false"/>
                <w:iCs w:val="false"/>
                <w:color w:val="1A6F73"/>
                <w:sz w:val="22"/>
                <w:szCs w:val="22"/>
              </w:rPr>
              <w:t xml:space="preserve">Cimzia</w:t>
            </w:r>
          </w:p>
          <w:p>
            <w:pPr>
              <w:spacing w:after="0" w:before="0" w:line="280"/>
              <w:jc w:val="left"/>
            </w:pPr>
            <w:r>
              <w:rPr>
                <w:rFonts w:ascii="Calibri" w:cs="Calibri" w:eastAsia="Calibri" w:hAnsi="Calibri"/>
                <w:b w:val="false"/>
                <w:bCs w:val="false"/>
                <w:i w:val="false"/>
                <w:iCs w:val="false"/>
                <w:color w:val="2C3E50"/>
                <w:sz w:val="20"/>
                <w:szCs w:val="20"/>
              </w:rPr>
              <w:t xml:space="preserve">Certolizumab pegol — rheumatoid arthritis, psoriatic arthritis, axial spondyloarthritis, Crohn's disease, psoriasis</w:t>
            </w:r>
          </w:p>
        </w:tc>
        <w:tc>
          <w:tcPr>
            <w:tcW w:type="dxa" w:w="4680"/>
            <w:tcBorders>
              <w:top w:val="single" w:color="CFE0DE" w:sz="4"/>
              <w:left w:val="single" w:color="CFE0DE" w:sz="4"/>
              <w:bottom w:val="single" w:color="CFE0DE" w:sz="4"/>
              <w:right w:val="single" w:color="CFE0DE" w:sz="4"/>
            </w:tcBorders>
            <w:shd w:fill="FFFFFF" w:val="clear"/>
            <w:tcMar>
              <w:top w:type="dxa" w:w="140"/>
              <w:left w:type="dxa" w:w="200"/>
              <w:bottom w:type="dxa" w:w="140"/>
              <w:right w:type="dxa" w:w="200"/>
            </w:tcMar>
          </w:tcPr>
          <w:p>
            <w:pPr>
              <w:spacing w:after="40" w:before="0"/>
              <w:jc w:val="left"/>
            </w:pPr>
            <w:r>
              <w:rPr>
                <w:rFonts w:ascii="Calibri" w:cs="Calibri" w:eastAsia="Calibri" w:hAnsi="Calibri"/>
                <w:b/>
                <w:bCs/>
                <w:i w:val="false"/>
                <w:iCs w:val="false"/>
                <w:color w:val="1A6F73"/>
                <w:sz w:val="22"/>
                <w:szCs w:val="22"/>
              </w:rPr>
              <w:t xml:space="preserve">Cosentyx</w:t>
            </w:r>
          </w:p>
          <w:p>
            <w:pPr>
              <w:spacing w:after="0" w:before="0" w:line="280"/>
              <w:jc w:val="left"/>
            </w:pPr>
            <w:r>
              <w:rPr>
                <w:rFonts w:ascii="Calibri" w:cs="Calibri" w:eastAsia="Calibri" w:hAnsi="Calibri"/>
                <w:b w:val="false"/>
                <w:bCs w:val="false"/>
                <w:i w:val="false"/>
                <w:iCs w:val="false"/>
                <w:color w:val="2C3E50"/>
                <w:sz w:val="20"/>
                <w:szCs w:val="20"/>
              </w:rPr>
              <w:t xml:space="preserve">Secukinumab — psoriasis, psoriatic arthritis, axial spondyloarthritis, hidradenitis suppurativa</w:t>
            </w:r>
          </w:p>
        </w:tc>
      </w:tr>
      <w:tr>
        <w:tc>
          <w:tcPr>
            <w:tcW w:type="dxa" w:w="4680"/>
            <w:tcBorders>
              <w:top w:val="single" w:color="CFE0DE" w:sz="4"/>
              <w:left w:val="single" w:color="CFE0DE" w:sz="4"/>
              <w:bottom w:val="single" w:color="CFE0DE" w:sz="4"/>
              <w:right w:val="single" w:color="CFE0DE" w:sz="4"/>
            </w:tcBorders>
            <w:shd w:fill="FFFFFF" w:val="clear"/>
            <w:tcMar>
              <w:top w:type="dxa" w:w="140"/>
              <w:left w:type="dxa" w:w="200"/>
              <w:bottom w:type="dxa" w:w="140"/>
              <w:right w:type="dxa" w:w="200"/>
            </w:tcMar>
          </w:tcPr>
          <w:p>
            <w:pPr>
              <w:spacing w:after="40" w:before="0"/>
              <w:jc w:val="left"/>
            </w:pPr>
            <w:r>
              <w:rPr>
                <w:rFonts w:ascii="Calibri" w:cs="Calibri" w:eastAsia="Calibri" w:hAnsi="Calibri"/>
                <w:b/>
                <w:bCs/>
                <w:i w:val="false"/>
                <w:iCs w:val="false"/>
                <w:color w:val="1A6F73"/>
                <w:sz w:val="22"/>
                <w:szCs w:val="22"/>
              </w:rPr>
              <w:t xml:space="preserve">Evenity</w:t>
            </w:r>
          </w:p>
          <w:p>
            <w:pPr>
              <w:spacing w:after="0" w:before="0" w:line="280"/>
              <w:jc w:val="left"/>
            </w:pPr>
            <w:r>
              <w:rPr>
                <w:rFonts w:ascii="Calibri" w:cs="Calibri" w:eastAsia="Calibri" w:hAnsi="Calibri"/>
                <w:b w:val="false"/>
                <w:bCs w:val="false"/>
                <w:i w:val="false"/>
                <w:iCs w:val="false"/>
                <w:color w:val="2C3E50"/>
                <w:sz w:val="20"/>
                <w:szCs w:val="20"/>
              </w:rPr>
              <w:t xml:space="preserve">Romosozumab — severe osteoporosis with high fracture risk</w:t>
            </w:r>
          </w:p>
        </w:tc>
        <w:tc>
          <w:tcPr>
            <w:tcW w:type="dxa" w:w="4680"/>
            <w:tcBorders>
              <w:top w:val="single" w:color="CFE0DE" w:sz="4"/>
              <w:left w:val="single" w:color="CFE0DE" w:sz="4"/>
              <w:bottom w:val="single" w:color="CFE0DE" w:sz="4"/>
              <w:right w:val="single" w:color="CFE0DE" w:sz="4"/>
            </w:tcBorders>
            <w:shd w:fill="FFFFFF" w:val="clear"/>
            <w:tcMar>
              <w:top w:type="dxa" w:w="140"/>
              <w:left w:type="dxa" w:w="200"/>
              <w:bottom w:type="dxa" w:w="140"/>
              <w:right w:type="dxa" w:w="200"/>
            </w:tcMar>
          </w:tcPr>
          <w:p>
            <w:pPr>
              <w:spacing w:after="40" w:before="0"/>
              <w:jc w:val="left"/>
            </w:pPr>
            <w:r>
              <w:rPr>
                <w:rFonts w:ascii="Calibri" w:cs="Calibri" w:eastAsia="Calibri" w:hAnsi="Calibri"/>
                <w:b/>
                <w:bCs/>
                <w:i w:val="false"/>
                <w:iCs w:val="false"/>
                <w:color w:val="1A6F73"/>
                <w:sz w:val="22"/>
                <w:szCs w:val="22"/>
              </w:rPr>
              <w:t xml:space="preserve">Ilaris</w:t>
            </w:r>
          </w:p>
          <w:p>
            <w:pPr>
              <w:spacing w:after="0" w:before="0" w:line="280"/>
              <w:jc w:val="left"/>
            </w:pPr>
            <w:r>
              <w:rPr>
                <w:rFonts w:ascii="Calibri" w:cs="Calibri" w:eastAsia="Calibri" w:hAnsi="Calibri"/>
                <w:b w:val="false"/>
                <w:bCs w:val="false"/>
                <w:i w:val="false"/>
                <w:iCs w:val="false"/>
                <w:color w:val="2C3E50"/>
                <w:sz w:val="20"/>
                <w:szCs w:val="20"/>
              </w:rPr>
              <w:t xml:space="preserve">Canakinumab — periodic fever syndromes, Still's disease, gout flares</w:t>
            </w:r>
          </w:p>
        </w:tc>
      </w:tr>
      <w:tr>
        <w:tc>
          <w:tcPr>
            <w:tcW w:type="dxa" w:w="4680"/>
            <w:tcBorders>
              <w:top w:val="single" w:color="CFE0DE" w:sz="4"/>
              <w:left w:val="single" w:color="CFE0DE" w:sz="4"/>
              <w:bottom w:val="single" w:color="CFE0DE" w:sz="4"/>
              <w:right w:val="single" w:color="CFE0DE" w:sz="4"/>
            </w:tcBorders>
            <w:shd w:fill="FFFFFF" w:val="clear"/>
            <w:tcMar>
              <w:top w:type="dxa" w:w="140"/>
              <w:left w:type="dxa" w:w="200"/>
              <w:bottom w:type="dxa" w:w="140"/>
              <w:right w:type="dxa" w:w="200"/>
            </w:tcMar>
          </w:tcPr>
          <w:p>
            <w:pPr>
              <w:spacing w:after="40" w:before="0"/>
              <w:jc w:val="left"/>
            </w:pPr>
            <w:r>
              <w:rPr>
                <w:rFonts w:ascii="Calibri" w:cs="Calibri" w:eastAsia="Calibri" w:hAnsi="Calibri"/>
                <w:b/>
                <w:bCs/>
                <w:i w:val="false"/>
                <w:iCs w:val="false"/>
                <w:color w:val="1A6F73"/>
                <w:sz w:val="22"/>
                <w:szCs w:val="22"/>
              </w:rPr>
              <w:t xml:space="preserve">Ilumya</w:t>
            </w:r>
          </w:p>
          <w:p>
            <w:pPr>
              <w:spacing w:after="0" w:before="0" w:line="280"/>
              <w:jc w:val="left"/>
            </w:pPr>
            <w:r>
              <w:rPr>
                <w:rFonts w:ascii="Calibri" w:cs="Calibri" w:eastAsia="Calibri" w:hAnsi="Calibri"/>
                <w:b w:val="false"/>
                <w:bCs w:val="false"/>
                <w:i w:val="false"/>
                <w:iCs w:val="false"/>
                <w:color w:val="2C3E50"/>
                <w:sz w:val="20"/>
                <w:szCs w:val="20"/>
              </w:rPr>
              <w:t xml:space="preserve">Tildrakizumab — moderate to severe plaque psoriasis</w:t>
            </w:r>
          </w:p>
        </w:tc>
        <w:tc>
          <w:tcPr>
            <w:tcW w:type="dxa" w:w="4680"/>
            <w:tcBorders>
              <w:top w:val="single" w:color="CFE0DE" w:sz="4"/>
              <w:left w:val="single" w:color="CFE0DE" w:sz="4"/>
              <w:bottom w:val="single" w:color="CFE0DE" w:sz="4"/>
              <w:right w:val="single" w:color="CFE0DE" w:sz="4"/>
            </w:tcBorders>
            <w:shd w:fill="FFFFFF" w:val="clear"/>
            <w:tcMar>
              <w:top w:type="dxa" w:w="140"/>
              <w:left w:type="dxa" w:w="200"/>
              <w:bottom w:type="dxa" w:w="140"/>
              <w:right w:type="dxa" w:w="200"/>
            </w:tcMar>
          </w:tcPr>
          <w:p>
            <w:pPr>
              <w:spacing w:after="40" w:before="0"/>
              <w:jc w:val="left"/>
            </w:pPr>
            <w:r>
              <w:rPr>
                <w:rFonts w:ascii="Calibri" w:cs="Calibri" w:eastAsia="Calibri" w:hAnsi="Calibri"/>
                <w:b/>
                <w:bCs/>
                <w:i w:val="false"/>
                <w:iCs w:val="false"/>
                <w:color w:val="1A6F73"/>
                <w:sz w:val="22"/>
                <w:szCs w:val="22"/>
              </w:rPr>
              <w:t xml:space="preserve">Krystexxa</w:t>
            </w:r>
          </w:p>
          <w:p>
            <w:pPr>
              <w:spacing w:after="0" w:before="0" w:line="280"/>
              <w:jc w:val="left"/>
            </w:pPr>
            <w:r>
              <w:rPr>
                <w:rFonts w:ascii="Calibri" w:cs="Calibri" w:eastAsia="Calibri" w:hAnsi="Calibri"/>
                <w:b w:val="false"/>
                <w:bCs w:val="false"/>
                <w:i w:val="false"/>
                <w:iCs w:val="false"/>
                <w:color w:val="2C3E50"/>
                <w:sz w:val="20"/>
                <w:szCs w:val="20"/>
              </w:rPr>
              <w:t xml:space="preserve">Pegloticase — uncontrolled chronic gout refractory to conventional therapy</w:t>
            </w:r>
          </w:p>
        </w:tc>
      </w:tr>
      <w:tr>
        <w:tc>
          <w:tcPr>
            <w:tcW w:type="dxa" w:w="4680"/>
            <w:tcBorders>
              <w:top w:val="single" w:color="CFE0DE" w:sz="4"/>
              <w:left w:val="single" w:color="CFE0DE" w:sz="4"/>
              <w:bottom w:val="single" w:color="CFE0DE" w:sz="4"/>
              <w:right w:val="single" w:color="CFE0DE" w:sz="4"/>
            </w:tcBorders>
            <w:shd w:fill="FFFFFF" w:val="clear"/>
            <w:tcMar>
              <w:top w:type="dxa" w:w="140"/>
              <w:left w:type="dxa" w:w="200"/>
              <w:bottom w:type="dxa" w:w="140"/>
              <w:right w:type="dxa" w:w="200"/>
            </w:tcMar>
          </w:tcPr>
          <w:p>
            <w:pPr>
              <w:spacing w:after="40" w:before="0"/>
              <w:jc w:val="left"/>
            </w:pPr>
            <w:r>
              <w:rPr>
                <w:rFonts w:ascii="Calibri" w:cs="Calibri" w:eastAsia="Calibri" w:hAnsi="Calibri"/>
                <w:b/>
                <w:bCs/>
                <w:i w:val="false"/>
                <w:iCs w:val="false"/>
                <w:color w:val="1A6F73"/>
                <w:sz w:val="22"/>
                <w:szCs w:val="22"/>
              </w:rPr>
              <w:t xml:space="preserve">Octagam (IVIG)</w:t>
            </w:r>
          </w:p>
          <w:p>
            <w:pPr>
              <w:spacing w:after="0" w:before="0" w:line="280"/>
              <w:jc w:val="left"/>
            </w:pPr>
            <w:r>
              <w:rPr>
                <w:rFonts w:ascii="Calibri" w:cs="Calibri" w:eastAsia="Calibri" w:hAnsi="Calibri"/>
                <w:b w:val="false"/>
                <w:bCs w:val="false"/>
                <w:i w:val="false"/>
                <w:iCs w:val="false"/>
                <w:color w:val="2C3E50"/>
                <w:sz w:val="20"/>
                <w:szCs w:val="20"/>
              </w:rPr>
              <w:t xml:space="preserve">Intravenous immunoglobulin — primary and secondary immunodeficiency, immune thrombocytopenia, neuroinflammatory disease</w:t>
            </w:r>
          </w:p>
        </w:tc>
        <w:tc>
          <w:tcPr>
            <w:tcW w:type="dxa" w:w="4680"/>
            <w:tcBorders>
              <w:top w:val="single" w:color="CFE0DE" w:sz="4"/>
              <w:left w:val="single" w:color="CFE0DE" w:sz="4"/>
              <w:bottom w:val="single" w:color="CFE0DE" w:sz="4"/>
              <w:right w:val="single" w:color="CFE0DE" w:sz="4"/>
            </w:tcBorders>
            <w:shd w:fill="FFFFFF" w:val="clear"/>
            <w:tcMar>
              <w:top w:type="dxa" w:w="140"/>
              <w:left w:type="dxa" w:w="200"/>
              <w:bottom w:type="dxa" w:w="140"/>
              <w:right w:type="dxa" w:w="200"/>
            </w:tcMar>
          </w:tcPr>
          <w:p>
            <w:pPr>
              <w:spacing w:after="40" w:before="0"/>
              <w:jc w:val="left"/>
            </w:pPr>
            <w:r>
              <w:rPr>
                <w:rFonts w:ascii="Calibri" w:cs="Calibri" w:eastAsia="Calibri" w:hAnsi="Calibri"/>
                <w:b/>
                <w:bCs/>
                <w:i w:val="false"/>
                <w:iCs w:val="false"/>
                <w:color w:val="1A6F73"/>
                <w:sz w:val="22"/>
                <w:szCs w:val="22"/>
              </w:rPr>
              <w:t xml:space="preserve">Orencia</w:t>
            </w:r>
          </w:p>
          <w:p>
            <w:pPr>
              <w:spacing w:after="0" w:before="0" w:line="280"/>
              <w:jc w:val="left"/>
            </w:pPr>
            <w:r>
              <w:rPr>
                <w:rFonts w:ascii="Calibri" w:cs="Calibri" w:eastAsia="Calibri" w:hAnsi="Calibri"/>
                <w:b w:val="false"/>
                <w:bCs w:val="false"/>
                <w:i w:val="false"/>
                <w:iCs w:val="false"/>
                <w:color w:val="2C3E50"/>
                <w:sz w:val="20"/>
                <w:szCs w:val="20"/>
              </w:rPr>
              <w:t xml:space="preserve">Abatacept — rheumatoid arthritis, psoriatic arthritis, juvenile idiopathic arthritis</w:t>
            </w:r>
          </w:p>
        </w:tc>
      </w:tr>
      <w:tr>
        <w:tc>
          <w:tcPr>
            <w:tcW w:type="dxa" w:w="4680"/>
            <w:tcBorders>
              <w:top w:val="single" w:color="CFE0DE" w:sz="4"/>
              <w:left w:val="single" w:color="CFE0DE" w:sz="4"/>
              <w:bottom w:val="single" w:color="CFE0DE" w:sz="4"/>
              <w:right w:val="single" w:color="CFE0DE" w:sz="4"/>
            </w:tcBorders>
            <w:shd w:fill="FFFFFF" w:val="clear"/>
            <w:tcMar>
              <w:top w:type="dxa" w:w="140"/>
              <w:left w:type="dxa" w:w="200"/>
              <w:bottom w:type="dxa" w:w="140"/>
              <w:right w:type="dxa" w:w="200"/>
            </w:tcMar>
          </w:tcPr>
          <w:p>
            <w:pPr>
              <w:spacing w:after="40" w:before="0"/>
              <w:jc w:val="left"/>
            </w:pPr>
            <w:r>
              <w:rPr>
                <w:rFonts w:ascii="Calibri" w:cs="Calibri" w:eastAsia="Calibri" w:hAnsi="Calibri"/>
                <w:b/>
                <w:bCs/>
                <w:i w:val="false"/>
                <w:iCs w:val="false"/>
                <w:color w:val="1A6F73"/>
                <w:sz w:val="22"/>
                <w:szCs w:val="22"/>
              </w:rPr>
              <w:t xml:space="preserve">Pemgarda</w:t>
            </w:r>
          </w:p>
          <w:p>
            <w:pPr>
              <w:spacing w:after="0" w:before="0" w:line="280"/>
              <w:jc w:val="left"/>
            </w:pPr>
            <w:r>
              <w:rPr>
                <w:rFonts w:ascii="Calibri" w:cs="Calibri" w:eastAsia="Calibri" w:hAnsi="Calibri"/>
                <w:b w:val="false"/>
                <w:bCs w:val="false"/>
                <w:i w:val="false"/>
                <w:iCs w:val="false"/>
                <w:color w:val="2C3E50"/>
                <w:sz w:val="20"/>
                <w:szCs w:val="20"/>
              </w:rPr>
              <w:t xml:space="preserve">Pemivibart — COVID-19 pre-exposure prophylaxis for immunocompromised patients</w:t>
            </w:r>
          </w:p>
        </w:tc>
        <w:tc>
          <w:tcPr>
            <w:tcW w:type="dxa" w:w="4680"/>
            <w:tcBorders>
              <w:top w:val="single" w:color="CFE0DE" w:sz="4"/>
              <w:left w:val="single" w:color="CFE0DE" w:sz="4"/>
              <w:bottom w:val="single" w:color="CFE0DE" w:sz="4"/>
              <w:right w:val="single" w:color="CFE0DE" w:sz="4"/>
            </w:tcBorders>
            <w:shd w:fill="FFFFFF" w:val="clear"/>
            <w:tcMar>
              <w:top w:type="dxa" w:w="140"/>
              <w:left w:type="dxa" w:w="200"/>
              <w:bottom w:type="dxa" w:w="140"/>
              <w:right w:type="dxa" w:w="200"/>
            </w:tcMar>
          </w:tcPr>
          <w:p>
            <w:pPr>
              <w:spacing w:after="40" w:before="0"/>
              <w:jc w:val="left"/>
            </w:pPr>
            <w:r>
              <w:rPr>
                <w:rFonts w:ascii="Calibri" w:cs="Calibri" w:eastAsia="Calibri" w:hAnsi="Calibri"/>
                <w:b/>
                <w:bCs/>
                <w:i w:val="false"/>
                <w:iCs w:val="false"/>
                <w:color w:val="1A6F73"/>
                <w:sz w:val="22"/>
                <w:szCs w:val="22"/>
              </w:rPr>
              <w:t xml:space="preserve">Remicade</w:t>
            </w:r>
          </w:p>
          <w:p>
            <w:pPr>
              <w:spacing w:after="0" w:before="0" w:line="280"/>
              <w:jc w:val="left"/>
            </w:pPr>
            <w:r>
              <w:rPr>
                <w:rFonts w:ascii="Calibri" w:cs="Calibri" w:eastAsia="Calibri" w:hAnsi="Calibri"/>
                <w:b w:val="false"/>
                <w:bCs w:val="false"/>
                <w:i w:val="false"/>
                <w:iCs w:val="false"/>
                <w:color w:val="2C3E50"/>
                <w:sz w:val="20"/>
                <w:szCs w:val="20"/>
              </w:rPr>
              <w:t xml:space="preserve">Infliximab — rheumatoid arthritis, ankylosing spondylitis, psoriatic arthritis, Crohn's disease, ulcerative colitis, psoriasis</w:t>
            </w:r>
          </w:p>
        </w:tc>
      </w:tr>
      <w:tr>
        <w:tc>
          <w:tcPr>
            <w:tcW w:type="dxa" w:w="4680"/>
            <w:tcBorders>
              <w:top w:val="single" w:color="CFE0DE" w:sz="4"/>
              <w:left w:val="single" w:color="CFE0DE" w:sz="4"/>
              <w:bottom w:val="single" w:color="CFE0DE" w:sz="4"/>
              <w:right w:val="single" w:color="CFE0DE" w:sz="4"/>
            </w:tcBorders>
            <w:shd w:fill="FFFFFF" w:val="clear"/>
            <w:tcMar>
              <w:top w:type="dxa" w:w="140"/>
              <w:left w:type="dxa" w:w="200"/>
              <w:bottom w:type="dxa" w:w="140"/>
              <w:right w:type="dxa" w:w="200"/>
            </w:tcMar>
          </w:tcPr>
          <w:p>
            <w:pPr>
              <w:spacing w:after="40" w:before="0"/>
              <w:jc w:val="left"/>
            </w:pPr>
            <w:r>
              <w:rPr>
                <w:rFonts w:ascii="Calibri" w:cs="Calibri" w:eastAsia="Calibri" w:hAnsi="Calibri"/>
                <w:b/>
                <w:bCs/>
                <w:i w:val="false"/>
                <w:iCs w:val="false"/>
                <w:color w:val="1A6F73"/>
                <w:sz w:val="22"/>
                <w:szCs w:val="22"/>
              </w:rPr>
              <w:t xml:space="preserve">Rituxan</w:t>
            </w:r>
          </w:p>
          <w:p>
            <w:pPr>
              <w:spacing w:after="0" w:before="0" w:line="280"/>
              <w:jc w:val="left"/>
            </w:pPr>
            <w:r>
              <w:rPr>
                <w:rFonts w:ascii="Calibri" w:cs="Calibri" w:eastAsia="Calibri" w:hAnsi="Calibri"/>
                <w:b w:val="false"/>
                <w:bCs w:val="false"/>
                <w:i w:val="false"/>
                <w:iCs w:val="false"/>
                <w:color w:val="2C3E50"/>
                <w:sz w:val="20"/>
                <w:szCs w:val="20"/>
              </w:rPr>
              <w:t xml:space="preserve">Rituximab — rheumatoid arthritis, vasculitis, non-Hodgkin lymphoma, chronic lymphocytic leukemia, immune thrombocytopenia</w:t>
            </w:r>
          </w:p>
        </w:tc>
        <w:tc>
          <w:tcPr>
            <w:tcW w:type="dxa" w:w="4680"/>
            <w:tcBorders>
              <w:top w:val="single" w:color="CFE0DE" w:sz="4"/>
              <w:left w:val="single" w:color="CFE0DE" w:sz="4"/>
              <w:bottom w:val="single" w:color="CFE0DE" w:sz="4"/>
              <w:right w:val="single" w:color="CFE0DE" w:sz="4"/>
            </w:tcBorders>
            <w:shd w:fill="FFFFFF" w:val="clear"/>
            <w:tcMar>
              <w:top w:type="dxa" w:w="140"/>
              <w:left w:type="dxa" w:w="200"/>
              <w:bottom w:type="dxa" w:w="140"/>
              <w:right w:type="dxa" w:w="200"/>
            </w:tcMar>
          </w:tcPr>
          <w:p>
            <w:pPr>
              <w:spacing w:after="40" w:before="0"/>
              <w:jc w:val="left"/>
            </w:pPr>
            <w:r>
              <w:rPr>
                <w:rFonts w:ascii="Calibri" w:cs="Calibri" w:eastAsia="Calibri" w:hAnsi="Calibri"/>
                <w:b/>
                <w:bCs/>
                <w:i w:val="false"/>
                <w:iCs w:val="false"/>
                <w:color w:val="1A6F73"/>
                <w:sz w:val="22"/>
                <w:szCs w:val="22"/>
              </w:rPr>
              <w:t xml:space="preserve">Simponi Aria</w:t>
            </w:r>
          </w:p>
          <w:p>
            <w:pPr>
              <w:spacing w:after="0" w:before="0" w:line="280"/>
              <w:jc w:val="left"/>
            </w:pPr>
            <w:r>
              <w:rPr>
                <w:rFonts w:ascii="Calibri" w:cs="Calibri" w:eastAsia="Calibri" w:hAnsi="Calibri"/>
                <w:b w:val="false"/>
                <w:bCs w:val="false"/>
                <w:i w:val="false"/>
                <w:iCs w:val="false"/>
                <w:color w:val="2C3E50"/>
                <w:sz w:val="20"/>
                <w:szCs w:val="20"/>
              </w:rPr>
              <w:t xml:space="preserve">Golimumab IV — rheumatoid arthritis, psoriatic arthritis, ankylosing spondylitis</w:t>
            </w:r>
          </w:p>
        </w:tc>
      </w:tr>
      <w:tr>
        <w:tc>
          <w:tcPr>
            <w:tcW w:type="dxa" w:w="4680"/>
            <w:tcBorders>
              <w:top w:val="single" w:color="CFE0DE" w:sz="4"/>
              <w:left w:val="single" w:color="CFE0DE" w:sz="4"/>
              <w:bottom w:val="single" w:color="CFE0DE" w:sz="4"/>
              <w:right w:val="single" w:color="CFE0DE" w:sz="4"/>
            </w:tcBorders>
            <w:shd w:fill="FFFFFF" w:val="clear"/>
            <w:tcMar>
              <w:top w:type="dxa" w:w="140"/>
              <w:left w:type="dxa" w:w="200"/>
              <w:bottom w:type="dxa" w:w="140"/>
              <w:right w:type="dxa" w:w="200"/>
            </w:tcMar>
          </w:tcPr>
          <w:p>
            <w:pPr>
              <w:spacing w:after="40" w:before="0"/>
              <w:jc w:val="left"/>
            </w:pPr>
            <w:r>
              <w:rPr>
                <w:rFonts w:ascii="Calibri" w:cs="Calibri" w:eastAsia="Calibri" w:hAnsi="Calibri"/>
                <w:b/>
                <w:bCs/>
                <w:i w:val="false"/>
                <w:iCs w:val="false"/>
                <w:color w:val="1A6F73"/>
                <w:sz w:val="22"/>
                <w:szCs w:val="22"/>
              </w:rPr>
              <w:t xml:space="preserve">Stelara</w:t>
            </w:r>
          </w:p>
          <w:p>
            <w:pPr>
              <w:spacing w:after="0" w:before="0" w:line="280"/>
              <w:jc w:val="left"/>
            </w:pPr>
            <w:r>
              <w:rPr>
                <w:rFonts w:ascii="Calibri" w:cs="Calibri" w:eastAsia="Calibri" w:hAnsi="Calibri"/>
                <w:b w:val="false"/>
                <w:bCs w:val="false"/>
                <w:i w:val="false"/>
                <w:iCs w:val="false"/>
                <w:color w:val="2C3E50"/>
                <w:sz w:val="20"/>
                <w:szCs w:val="20"/>
              </w:rPr>
              <w:t xml:space="preserve">Ustekinumab — psoriasis, psoriatic arthritis, Crohn's disease, ulcerative colitis</w:t>
            </w:r>
          </w:p>
        </w:tc>
        <w:tc>
          <w:tcPr>
            <w:tcW w:type="dxa" w:w="4680"/>
            <w:tcBorders>
              <w:top w:val="single" w:color="CFE0DE" w:sz="4"/>
              <w:left w:val="single" w:color="CFE0DE" w:sz="4"/>
              <w:bottom w:val="single" w:color="CFE0DE" w:sz="4"/>
              <w:right w:val="single" w:color="CFE0DE" w:sz="4"/>
            </w:tcBorders>
            <w:shd w:fill="FFFFFF" w:val="clear"/>
            <w:tcMar>
              <w:top w:type="dxa" w:w="140"/>
              <w:left w:type="dxa" w:w="200"/>
              <w:bottom w:type="dxa" w:w="140"/>
              <w:right w:type="dxa" w:w="200"/>
            </w:tcMar>
          </w:tcPr>
          <w:p>
            <w:pPr>
              <w:spacing w:after="40" w:before="0"/>
              <w:jc w:val="left"/>
            </w:pPr>
            <w:r>
              <w:rPr>
                <w:rFonts w:ascii="Calibri" w:cs="Calibri" w:eastAsia="Calibri" w:hAnsi="Calibri"/>
                <w:b/>
                <w:bCs/>
                <w:i w:val="false"/>
                <w:iCs w:val="false"/>
                <w:color w:val="1A6F73"/>
                <w:sz w:val="22"/>
                <w:szCs w:val="22"/>
              </w:rPr>
              <w:t xml:space="preserve">Tepezza</w:t>
            </w:r>
          </w:p>
          <w:p>
            <w:pPr>
              <w:spacing w:after="0" w:before="0" w:line="280"/>
              <w:jc w:val="left"/>
            </w:pPr>
            <w:r>
              <w:rPr>
                <w:rFonts w:ascii="Calibri" w:cs="Calibri" w:eastAsia="Calibri" w:hAnsi="Calibri"/>
                <w:b w:val="false"/>
                <w:bCs w:val="false"/>
                <w:i w:val="false"/>
                <w:iCs w:val="false"/>
                <w:color w:val="2C3E50"/>
                <w:sz w:val="20"/>
                <w:szCs w:val="20"/>
              </w:rPr>
              <w:t xml:space="preserve">Teprotumumab — thyroid eye disease (Graves' ophthalmopathy)</w:t>
            </w:r>
          </w:p>
        </w:tc>
      </w:tr>
      <w:tr>
        <w:tc>
          <w:tcPr>
            <w:tcW w:type="dxa" w:w="4680"/>
            <w:tcBorders>
              <w:top w:val="single" w:color="CFE0DE" w:sz="4"/>
              <w:left w:val="single" w:color="CFE0DE" w:sz="4"/>
              <w:bottom w:val="single" w:color="CFE0DE" w:sz="4"/>
              <w:right w:val="single" w:color="CFE0DE" w:sz="4"/>
            </w:tcBorders>
            <w:shd w:fill="FFFFFF" w:val="clear"/>
            <w:tcMar>
              <w:top w:type="dxa" w:w="140"/>
              <w:left w:type="dxa" w:w="200"/>
              <w:bottom w:type="dxa" w:w="140"/>
              <w:right w:type="dxa" w:w="200"/>
            </w:tcMar>
          </w:tcPr>
          <w:p>
            <w:pPr>
              <w:spacing w:after="40" w:before="0"/>
              <w:jc w:val="left"/>
            </w:pPr>
            <w:r>
              <w:rPr>
                <w:rFonts w:ascii="Calibri" w:cs="Calibri" w:eastAsia="Calibri" w:hAnsi="Calibri"/>
                <w:b/>
                <w:bCs/>
                <w:i w:val="false"/>
                <w:iCs w:val="false"/>
                <w:color w:val="1A6F73"/>
                <w:sz w:val="22"/>
                <w:szCs w:val="22"/>
              </w:rPr>
              <w:t xml:space="preserve">Uplizna</w:t>
            </w:r>
          </w:p>
          <w:p>
            <w:pPr>
              <w:spacing w:after="0" w:before="0" w:line="280"/>
              <w:jc w:val="left"/>
            </w:pPr>
            <w:r>
              <w:rPr>
                <w:rFonts w:ascii="Calibri" w:cs="Calibri" w:eastAsia="Calibri" w:hAnsi="Calibri"/>
                <w:b w:val="false"/>
                <w:bCs w:val="false"/>
                <w:i w:val="false"/>
                <w:iCs w:val="false"/>
                <w:color w:val="2C3E50"/>
                <w:sz w:val="20"/>
                <w:szCs w:val="20"/>
              </w:rPr>
              <w:t xml:space="preserve">Inebilizumab — neuromyelitis optica spectrum disorder</w:t>
            </w:r>
          </w:p>
        </w:tc>
        <w:tc>
          <w:tcPr>
            <w:tcW w:type="dxa" w:w="4680"/>
            <w:tcBorders>
              <w:top w:val="single" w:color="CFE0DE" w:sz="4"/>
              <w:left w:val="single" w:color="CFE0DE" w:sz="4"/>
              <w:bottom w:val="single" w:color="CFE0DE" w:sz="4"/>
              <w:right w:val="single" w:color="CFE0DE" w:sz="4"/>
            </w:tcBorders>
            <w:shd w:fill="FFFFFF" w:val="clear"/>
            <w:tcMar>
              <w:top w:type="dxa" w:w="140"/>
              <w:left w:type="dxa" w:w="200"/>
              <w:bottom w:type="dxa" w:w="140"/>
              <w:right w:type="dxa" w:w="200"/>
            </w:tcMar>
          </w:tcPr>
          <w:p>
            <w:pPr>
              <w:spacing w:after="40" w:before="0"/>
              <w:jc w:val="left"/>
            </w:pPr>
            <w:r>
              <w:rPr>
                <w:rFonts w:ascii="Calibri" w:cs="Calibri" w:eastAsia="Calibri" w:hAnsi="Calibri"/>
                <w:b/>
                <w:bCs/>
                <w:i w:val="false"/>
                <w:iCs w:val="false"/>
                <w:color w:val="1A6F73"/>
                <w:sz w:val="22"/>
                <w:szCs w:val="22"/>
              </w:rPr>
              <w:t xml:space="preserve">Vyvgart</w:t>
            </w:r>
          </w:p>
          <w:p>
            <w:pPr>
              <w:spacing w:after="0" w:before="0" w:line="280"/>
              <w:jc w:val="left"/>
            </w:pPr>
            <w:r>
              <w:rPr>
                <w:rFonts w:ascii="Calibri" w:cs="Calibri" w:eastAsia="Calibri" w:hAnsi="Calibri"/>
                <w:b w:val="false"/>
                <w:bCs w:val="false"/>
                <w:i w:val="false"/>
                <w:iCs w:val="false"/>
                <w:color w:val="2C3E50"/>
                <w:sz w:val="20"/>
                <w:szCs w:val="20"/>
              </w:rPr>
              <w:t xml:space="preserve">Efgartigimod — generalized myasthenia gravis</w:t>
            </w:r>
          </w:p>
        </w:tc>
      </w:tr>
      <w:tr>
        <w:tc>
          <w:tcPr>
            <w:tcW w:type="dxa" w:w="4680"/>
            <w:tcBorders>
              <w:top w:val="single" w:color="CFE0DE" w:sz="4"/>
              <w:left w:val="single" w:color="CFE0DE" w:sz="4"/>
              <w:bottom w:val="single" w:color="CFE0DE" w:sz="4"/>
              <w:right w:val="single" w:color="CFE0DE" w:sz="4"/>
            </w:tcBorders>
            <w:shd w:fill="FFFFFF" w:val="clear"/>
            <w:tcMar>
              <w:top w:type="dxa" w:w="140"/>
              <w:left w:type="dxa" w:w="200"/>
              <w:bottom w:type="dxa" w:w="140"/>
              <w:right w:type="dxa" w:w="200"/>
            </w:tcMar>
          </w:tcPr>
          <w:p>
            <w:pPr>
              <w:spacing w:after="40" w:before="0"/>
              <w:jc w:val="left"/>
            </w:pPr>
            <w:r>
              <w:rPr>
                <w:rFonts w:ascii="Calibri" w:cs="Calibri" w:eastAsia="Calibri" w:hAnsi="Calibri"/>
                <w:b/>
                <w:bCs/>
                <w:i w:val="false"/>
                <w:iCs w:val="false"/>
                <w:color w:val="1A6F73"/>
                <w:sz w:val="22"/>
                <w:szCs w:val="22"/>
              </w:rPr>
              <w:t xml:space="preserve">Ocrevus</w:t>
            </w:r>
          </w:p>
          <w:p>
            <w:pPr>
              <w:spacing w:after="0" w:before="0" w:line="280"/>
              <w:jc w:val="left"/>
            </w:pPr>
            <w:r>
              <w:rPr>
                <w:rFonts w:ascii="Calibri" w:cs="Calibri" w:eastAsia="Calibri" w:hAnsi="Calibri"/>
                <w:b w:val="false"/>
                <w:bCs w:val="false"/>
                <w:i w:val="false"/>
                <w:iCs w:val="false"/>
                <w:color w:val="2C3E50"/>
                <w:sz w:val="20"/>
                <w:szCs w:val="20"/>
              </w:rPr>
              <w:t xml:space="preserve">Ocrelizumab — relapsing and primary progressive multiple sclerosis</w:t>
            </w:r>
          </w:p>
        </w:tc>
        <w:tc>
          <w:tcPr>
            <w:tcW w:type="dxa" w:w="4680"/>
            <w:tcBorders>
              <w:top w:val="single" w:color="CFE0DE" w:sz="4"/>
              <w:left w:val="single" w:color="CFE0DE" w:sz="4"/>
              <w:bottom w:val="single" w:color="CFE0DE" w:sz="4"/>
              <w:right w:val="single" w:color="CFE0DE"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val="false"/>
                <w:iCs w:val="false"/>
                <w:color w:val="2C3E50"/>
                <w:sz w:val="22"/>
                <w:szCs w:val="22"/>
              </w:rPr>
              <w:t xml:space="preserve"/>
            </w:r>
          </w:p>
        </w:tc>
      </w:tr>
    </w:tbl>
    <w:p>
      <w:pPr>
        <w:spacing w:after="160" w:before="160"/>
      </w:pPr>
      <w:r>
        <w:rPr>
          <w:rFonts w:ascii="Calibri" w:cs="Calibri" w:eastAsia="Calibri" w:hAnsi="Calibri"/>
          <w:b w:val="false"/>
          <w:bCs w:val="false"/>
          <w:i w:val="false"/>
          <w:iCs w:val="false"/>
          <w:color w:val="2C3E50"/>
          <w:sz w:val="22"/>
          <w:szCs w:val="22"/>
        </w:rPr>
        <w:t xml:space="preserve"/>
      </w:r>
    </w:p>
    <w:p>
      <w:pPr>
        <w:spacing w:after="80" w:before="80" w:line="320"/>
        <w:jc w:val="left"/>
      </w:pPr>
      <w:r>
        <w:rPr>
          <w:rFonts w:ascii="Calibri" w:cs="Calibri" w:eastAsia="Calibri" w:hAnsi="Calibri"/>
          <w:b w:val="false"/>
          <w:bCs w:val="false"/>
          <w:i/>
          <w:iCs/>
          <w:color w:val="2C3E50"/>
          <w:sz w:val="22"/>
          <w:szCs w:val="22"/>
        </w:rPr>
        <w:t xml:space="preserve">Additional infusion therapies are available upon request. If a specific agent is not listed above, please call us — our formulary is reviewed and expanded regularly based on referring physician needs.</w:t>
      </w:r>
    </w:p>
    <w:p>
      <w:pPr>
        <w:spacing w:after="80" w:before="320"/>
      </w:pPr>
      <w:r>
        <w:rPr>
          <w:rFonts w:ascii="Calibri" w:cs="Calibri" w:eastAsia="Calibri" w:hAnsi="Calibri"/>
          <w:b/>
          <w:bCs/>
          <w:i w:val="false"/>
          <w:iCs w:val="false"/>
          <w:color w:val="1A6F73"/>
          <w:sz w:val="18"/>
          <w:szCs w:val="18"/>
        </w:rPr>
        <w:t xml:space="preserve">CASH-PAY WELLNESS &amp; SUPPORTIVE SERVICES</w:t>
      </w:r>
    </w:p>
    <w:p>
      <w:pPr>
        <w:spacing w:after="80" w:before="80" w:line="320"/>
        <w:jc w:val="left"/>
      </w:pPr>
      <w:r>
        <w:rPr>
          <w:rFonts w:ascii="Calibri" w:cs="Calibri" w:eastAsia="Calibri" w:hAnsi="Calibri"/>
          <w:b w:val="false"/>
          <w:bCs w:val="false"/>
          <w:i w:val="false"/>
          <w:iCs w:val="false"/>
          <w:color w:val="2C3E50"/>
          <w:sz w:val="22"/>
          <w:szCs w:val="22"/>
        </w:rPr>
        <w:t xml:space="preserve">In addition to our insurance-covered specialty infusion services, we offer a small menu of cash-pay wellness and supportive therapies for self-pay patients. These services are physician-supervised and administered by our licensed clinical staff in the same calm, private setting as our specialty infusions.</w:t>
      </w:r>
    </w:p>
    <w:p>
      <w:pPr>
        <w:spacing w:after="80" w:before="180"/>
      </w:pPr>
      <w:r>
        <w:rPr>
          <w:rFonts w:ascii="Calibri" w:cs="Calibri" w:eastAsia="Calibri" w:hAnsi="Calibri"/>
          <w:b/>
          <w:bCs/>
          <w:i w:val="false"/>
          <w:iCs w:val="false"/>
          <w:color w:val="0F3D47"/>
          <w:sz w:val="22"/>
          <w:szCs w:val="22"/>
        </w:rPr>
        <w:t xml:space="preserve">B12 Injection</w:t>
      </w:r>
    </w:p>
    <w:p>
      <w:pPr>
        <w:spacing w:after="80" w:before="80" w:line="320"/>
        <w:jc w:val="left"/>
      </w:pPr>
      <w:r>
        <w:rPr>
          <w:rFonts w:ascii="Calibri" w:cs="Calibri" w:eastAsia="Calibri" w:hAnsi="Calibri"/>
          <w:b w:val="false"/>
          <w:bCs w:val="false"/>
          <w:i w:val="false"/>
          <w:iCs w:val="false"/>
          <w:color w:val="2C3E50"/>
          <w:sz w:val="22"/>
          <w:szCs w:val="22"/>
        </w:rPr>
        <w:t xml:space="preserve">Vitamin B12 supplementation for fatigue, peripheral neuropathy, and confirmed B12 deficiency.</w:t>
      </w:r>
    </w:p>
    <w:p>
      <w:pPr>
        <w:spacing w:after="80" w:before="180"/>
      </w:pPr>
      <w:r>
        <w:rPr>
          <w:rFonts w:ascii="Calibri" w:cs="Calibri" w:eastAsia="Calibri" w:hAnsi="Calibri"/>
          <w:b/>
          <w:bCs/>
          <w:i w:val="false"/>
          <w:iCs w:val="false"/>
          <w:color w:val="0F3D47"/>
          <w:sz w:val="22"/>
          <w:szCs w:val="22"/>
        </w:rPr>
        <w:t xml:space="preserve">Vitamin D Injection</w:t>
      </w:r>
    </w:p>
    <w:p>
      <w:pPr>
        <w:spacing w:after="80" w:before="80" w:line="320"/>
        <w:jc w:val="left"/>
      </w:pPr>
      <w:r>
        <w:rPr>
          <w:rFonts w:ascii="Calibri" w:cs="Calibri" w:eastAsia="Calibri" w:hAnsi="Calibri"/>
          <w:b w:val="false"/>
          <w:bCs w:val="false"/>
          <w:i w:val="false"/>
          <w:iCs w:val="false"/>
          <w:color w:val="2C3E50"/>
          <w:sz w:val="22"/>
          <w:szCs w:val="22"/>
        </w:rPr>
        <w:t xml:space="preserve">High-dose vitamin D for documented deficiency or insufficiency.</w:t>
      </w:r>
    </w:p>
    <w:p>
      <w:pPr>
        <w:spacing w:after="80" w:before="180"/>
      </w:pPr>
      <w:r>
        <w:rPr>
          <w:rFonts w:ascii="Calibri" w:cs="Calibri" w:eastAsia="Calibri" w:hAnsi="Calibri"/>
          <w:b/>
          <w:bCs/>
          <w:i w:val="false"/>
          <w:iCs w:val="false"/>
          <w:color w:val="0F3D47"/>
          <w:sz w:val="22"/>
          <w:szCs w:val="22"/>
        </w:rPr>
        <w:t xml:space="preserve">Myers Cocktail IV</w:t>
      </w:r>
    </w:p>
    <w:p>
      <w:pPr>
        <w:spacing w:after="80" w:before="80" w:line="320"/>
        <w:jc w:val="left"/>
      </w:pPr>
      <w:r>
        <w:rPr>
          <w:rFonts w:ascii="Calibri" w:cs="Calibri" w:eastAsia="Calibri" w:hAnsi="Calibri"/>
          <w:b w:val="false"/>
          <w:bCs w:val="false"/>
          <w:i w:val="false"/>
          <w:iCs w:val="false"/>
          <w:color w:val="2C3E50"/>
          <w:sz w:val="22"/>
          <w:szCs w:val="22"/>
        </w:rPr>
        <w:t xml:space="preserve">A classic intravenous vitamin and mineral blend used to support energy, immunity, and recovery.</w:t>
      </w:r>
    </w:p>
    <w:p>
      <w:pPr>
        <w:spacing w:after="80" w:before="180"/>
      </w:pPr>
      <w:r>
        <w:rPr>
          <w:rFonts w:ascii="Calibri" w:cs="Calibri" w:eastAsia="Calibri" w:hAnsi="Calibri"/>
          <w:b/>
          <w:bCs/>
          <w:i w:val="false"/>
          <w:iCs w:val="false"/>
          <w:color w:val="0F3D47"/>
          <w:sz w:val="22"/>
          <w:szCs w:val="22"/>
        </w:rPr>
        <w:t xml:space="preserve">Iron Infusion (Venofer)</w:t>
      </w:r>
    </w:p>
    <w:p>
      <w:pPr>
        <w:spacing w:after="80" w:before="80" w:line="320"/>
        <w:jc w:val="left"/>
      </w:pPr>
      <w:r>
        <w:rPr>
          <w:rFonts w:ascii="Calibri" w:cs="Calibri" w:eastAsia="Calibri" w:hAnsi="Calibri"/>
          <w:b w:val="false"/>
          <w:bCs w:val="false"/>
          <w:i w:val="false"/>
          <w:iCs w:val="false"/>
          <w:color w:val="2C3E50"/>
          <w:sz w:val="22"/>
          <w:szCs w:val="22"/>
        </w:rPr>
        <w:t xml:space="preserve">Intravenous iron sucrose for iron-deficiency anemia when oral iron is not tolerated or not effective.</w:t>
      </w:r>
    </w:p>
    <w:p>
      <w:pPr>
        <w:spacing w:after="80" w:before="180"/>
      </w:pPr>
      <w:r>
        <w:rPr>
          <w:rFonts w:ascii="Calibri" w:cs="Calibri" w:eastAsia="Calibri" w:hAnsi="Calibri"/>
          <w:b/>
          <w:bCs/>
          <w:i w:val="false"/>
          <w:iCs w:val="false"/>
          <w:color w:val="0F3D47"/>
          <w:sz w:val="22"/>
          <w:szCs w:val="22"/>
        </w:rPr>
        <w:t xml:space="preserve">Joint Injections / PRP</w:t>
      </w:r>
    </w:p>
    <w:p>
      <w:pPr>
        <w:spacing w:after="80" w:before="80" w:line="320"/>
        <w:jc w:val="left"/>
      </w:pPr>
      <w:r>
        <w:rPr>
          <w:rFonts w:ascii="Calibri" w:cs="Calibri" w:eastAsia="Calibri" w:hAnsi="Calibri"/>
          <w:b w:val="false"/>
          <w:bCs w:val="false"/>
          <w:i w:val="false"/>
          <w:iCs w:val="false"/>
          <w:color w:val="2C3E50"/>
          <w:sz w:val="22"/>
          <w:szCs w:val="22"/>
        </w:rPr>
        <w:t xml:space="preserve">Therapeutic joint injections and platelet-rich plasma therapy for selected musculoskeletal conditions, administered by physician.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73" w:sz="8"/>
              <w:left w:val="single" w:color="1A6F73" w:sz="24"/>
              <w:bottom w:val="single" w:color="1A6F73" w:sz="8"/>
              <w:right w:val="single" w:color="CFE0DE" w:sz="4"/>
            </w:tcBorders>
            <w:shd w:fill="F2F7F7" w:val="clear"/>
            <w:tcMar>
              <w:top w:type="dxa" w:w="200"/>
              <w:left w:type="dxa" w:w="240"/>
              <w:bottom w:type="dxa" w:w="200"/>
              <w:right w:type="dxa" w:w="240"/>
            </w:tcMar>
          </w:tcPr>
          <w:p>
            <w:pPr>
              <w:spacing w:after="80" w:before="0"/>
              <w:jc w:val="left"/>
            </w:pPr>
            <w:r>
              <w:rPr>
                <w:rFonts w:ascii="Calibri" w:cs="Calibri" w:eastAsia="Calibri" w:hAnsi="Calibri"/>
                <w:b/>
                <w:bCs/>
                <w:i w:val="false"/>
                <w:iCs w:val="false"/>
                <w:color w:val="0F3D47"/>
                <w:sz w:val="24"/>
                <w:szCs w:val="24"/>
              </w:rPr>
              <w:t xml:space="preserve">A note on cash-pay services</w:t>
            </w:r>
          </w:p>
          <w:p>
            <w:pPr>
              <w:spacing w:after="0" w:before="40" w:line="320"/>
              <w:jc w:val="left"/>
            </w:pPr>
            <w:r>
              <w:rPr>
                <w:rFonts w:ascii="Calibri" w:cs="Calibri" w:eastAsia="Calibri" w:hAnsi="Calibri"/>
                <w:b w:val="false"/>
                <w:bCs w:val="false"/>
                <w:i w:val="false"/>
                <w:iCs w:val="false"/>
                <w:color w:val="2C3E50"/>
                <w:sz w:val="22"/>
                <w:szCs w:val="22"/>
              </w:rPr>
              <w:t xml:space="preserve">Cash-pay services are not a substitute for evaluation by your primary care physician or specialist. We recommend discussing supplemental therapies with your physician before booking. If you are unsure whether a service is appropriate for you, call us and we will help you decide.</w:t>
            </w:r>
          </w:p>
        </w:tc>
      </w:tr>
    </w:tbl>
    <w:p>
      <w:r>
        <w:br w:type="page"/>
      </w:r>
    </w:p>
    <w:p>
      <w:pPr>
        <w:spacing w:after="120" w:before="360"/>
      </w:pPr>
      <w:r>
        <w:rPr>
          <w:rFonts w:ascii="Calibri" w:cs="Calibri" w:eastAsia="Calibri" w:hAnsi="Calibri"/>
          <w:b/>
          <w:bCs/>
          <w:i w:val="false"/>
          <w:iCs w:val="false"/>
          <w:color w:val="0F3D47"/>
          <w:sz w:val="36"/>
          <w:szCs w:val="36"/>
        </w:rPr>
        <w:t xml:space="preserve">Page 5 — For Patients</w:t>
      </w:r>
    </w:p>
    <w:p>
      <w:pPr>
        <w:spacing w:after="240" w:before="0"/>
      </w:pPr>
      <w:r>
        <w:rPr>
          <w:rFonts w:ascii="Calibri" w:cs="Calibri" w:eastAsia="Calibri" w:hAnsi="Calibri"/>
          <w:b w:val="false"/>
          <w:bCs w:val="false"/>
          <w:i/>
          <w:iCs/>
          <w:color w:val="1A6F73"/>
          <w:sz w:val="24"/>
          <w:szCs w:val="24"/>
        </w:rPr>
        <w:t xml:space="preserve">What to expect, before, during, and after your infusion</w:t>
      </w:r>
    </w:p>
    <w:p>
      <w:pPr>
        <w:spacing w:after="80" w:before="320"/>
      </w:pPr>
      <w:r>
        <w:rPr>
          <w:rFonts w:ascii="Calibri" w:cs="Calibri" w:eastAsia="Calibri" w:hAnsi="Calibri"/>
          <w:b/>
          <w:bCs/>
          <w:i w:val="false"/>
          <w:iCs w:val="false"/>
          <w:color w:val="1A6F73"/>
          <w:sz w:val="18"/>
          <w:szCs w:val="18"/>
        </w:rPr>
        <w:t xml:space="preserve">WELCOME</w:t>
      </w:r>
    </w:p>
    <w:p>
      <w:pPr>
        <w:spacing w:after="160" w:before="80" w:line="340"/>
        <w:jc w:val="left"/>
      </w:pPr>
      <w:r>
        <w:rPr>
          <w:rFonts w:ascii="Calibri" w:cs="Calibri" w:eastAsia="Calibri" w:hAnsi="Calibri"/>
          <w:b w:val="false"/>
          <w:bCs w:val="false"/>
          <w:i w:val="false"/>
          <w:iCs w:val="false"/>
          <w:color w:val="2C3E50"/>
          <w:sz w:val="24"/>
          <w:szCs w:val="24"/>
        </w:rPr>
        <w:t xml:space="preserve">If your doctor has referred you to us for an infusion, welcome. You are in capable, caring hands. This page walks you through what to expect — from the first phone call to the moment you walk back out the door — so that there are no surprises and nothing to worry about.</w:t>
      </w:r>
    </w:p>
    <w:p>
      <w:pPr>
        <w:spacing w:after="80" w:before="320"/>
      </w:pPr>
      <w:r>
        <w:rPr>
          <w:rFonts w:ascii="Calibri" w:cs="Calibri" w:eastAsia="Calibri" w:hAnsi="Calibri"/>
          <w:b/>
          <w:bCs/>
          <w:i w:val="false"/>
          <w:iCs w:val="false"/>
          <w:color w:val="1A6F73"/>
          <w:sz w:val="18"/>
          <w:szCs w:val="18"/>
        </w:rPr>
        <w:t xml:space="preserve">BEFORE YOUR FIRST INFUSION</w:t>
      </w:r>
    </w:p>
    <w:p>
      <w:pPr>
        <w:spacing w:after="80" w:before="180"/>
      </w:pPr>
      <w:r>
        <w:rPr>
          <w:rFonts w:ascii="Calibri" w:cs="Calibri" w:eastAsia="Calibri" w:hAnsi="Calibri"/>
          <w:b/>
          <w:bCs/>
          <w:i w:val="false"/>
          <w:iCs w:val="false"/>
          <w:color w:val="0F3D47"/>
          <w:sz w:val="22"/>
          <w:szCs w:val="22"/>
        </w:rPr>
        <w:t xml:space="preserve">1. We will reach out to you</w:t>
      </w:r>
    </w:p>
    <w:p>
      <w:pPr>
        <w:spacing w:after="80" w:before="80" w:line="320"/>
        <w:jc w:val="left"/>
      </w:pPr>
      <w:r>
        <w:rPr>
          <w:rFonts w:ascii="Calibri" w:cs="Calibri" w:eastAsia="Calibri" w:hAnsi="Calibri"/>
          <w:b w:val="false"/>
          <w:bCs w:val="false"/>
          <w:i w:val="false"/>
          <w:iCs w:val="false"/>
          <w:color w:val="2C3E50"/>
          <w:sz w:val="22"/>
          <w:szCs w:val="22"/>
        </w:rPr>
        <w:t xml:space="preserve">Once we receive your referral, a member of our team will call you within one to two business days. We will introduce ourselves, confirm your insurance, answer your initial questions, and schedule your first infusion at a time that works for you.</w:t>
      </w:r>
    </w:p>
    <w:p>
      <w:pPr>
        <w:spacing w:after="80" w:before="180"/>
      </w:pPr>
      <w:r>
        <w:rPr>
          <w:rFonts w:ascii="Calibri" w:cs="Calibri" w:eastAsia="Calibri" w:hAnsi="Calibri"/>
          <w:b/>
          <w:bCs/>
          <w:i w:val="false"/>
          <w:iCs w:val="false"/>
          <w:color w:val="0F3D47"/>
          <w:sz w:val="22"/>
          <w:szCs w:val="22"/>
        </w:rPr>
        <w:t xml:space="preserve">2. We will handle the paperwork</w:t>
      </w:r>
    </w:p>
    <w:p>
      <w:pPr>
        <w:spacing w:after="80" w:before="80" w:line="320"/>
        <w:jc w:val="left"/>
      </w:pPr>
      <w:r>
        <w:rPr>
          <w:rFonts w:ascii="Calibri" w:cs="Calibri" w:eastAsia="Calibri" w:hAnsi="Calibri"/>
          <w:b w:val="false"/>
          <w:bCs w:val="false"/>
          <w:i w:val="false"/>
          <w:iCs w:val="false"/>
          <w:color w:val="2C3E50"/>
          <w:sz w:val="22"/>
          <w:szCs w:val="22"/>
        </w:rPr>
        <w:t xml:space="preserve">Most specialty infusion medications require prior authorization from your insurance company. Our team handles this entire process for you, including any appeals, peer-to-peer reviews, and supporting documentation. You should not need to call your insurance company yourself.</w:t>
      </w:r>
    </w:p>
    <w:p>
      <w:pPr>
        <w:spacing w:after="80" w:before="180"/>
      </w:pPr>
      <w:r>
        <w:rPr>
          <w:rFonts w:ascii="Calibri" w:cs="Calibri" w:eastAsia="Calibri" w:hAnsi="Calibri"/>
          <w:b/>
          <w:bCs/>
          <w:i w:val="false"/>
          <w:iCs w:val="false"/>
          <w:color w:val="0F3D47"/>
          <w:sz w:val="22"/>
          <w:szCs w:val="22"/>
        </w:rPr>
        <w:t xml:space="preserve">3. We will look at the cost</w:t>
      </w:r>
    </w:p>
    <w:p>
      <w:pPr>
        <w:spacing w:after="80" w:before="80" w:line="320"/>
        <w:jc w:val="left"/>
      </w:pPr>
      <w:r>
        <w:rPr>
          <w:rFonts w:ascii="Calibri" w:cs="Calibri" w:eastAsia="Calibri" w:hAnsi="Calibri"/>
          <w:b w:val="false"/>
          <w:bCs w:val="false"/>
          <w:i w:val="false"/>
          <w:iCs w:val="false"/>
          <w:color w:val="2C3E50"/>
          <w:sz w:val="22"/>
          <w:szCs w:val="22"/>
        </w:rPr>
        <w:t xml:space="preserve">Our financial advocates will review your coverage and out-of-pocket costs. If there is a copay, deductible, or coinsurance you would otherwise be responsible for, we will explore copay assistance programs, manufacturer support programs, and foundation grants to reduce or eliminate that cost. Many of our patients pay little or nothing out of pocket. Cost should not stand between you and treatment, and we will make sure it does not.</w:t>
      </w:r>
    </w:p>
    <w:p>
      <w:pPr>
        <w:spacing w:after="80" w:before="180"/>
      </w:pPr>
      <w:r>
        <w:rPr>
          <w:rFonts w:ascii="Calibri" w:cs="Calibri" w:eastAsia="Calibri" w:hAnsi="Calibri"/>
          <w:b/>
          <w:bCs/>
          <w:i w:val="false"/>
          <w:iCs w:val="false"/>
          <w:color w:val="0F3D47"/>
          <w:sz w:val="22"/>
          <w:szCs w:val="22"/>
        </w:rPr>
        <w:t xml:space="preserve">4. We will get your labs and history in order</w:t>
      </w:r>
    </w:p>
    <w:p>
      <w:pPr>
        <w:spacing w:after="80" w:before="80" w:line="320"/>
        <w:jc w:val="left"/>
      </w:pPr>
      <w:r>
        <w:rPr>
          <w:rFonts w:ascii="Calibri" w:cs="Calibri" w:eastAsia="Calibri" w:hAnsi="Calibri"/>
          <w:b w:val="false"/>
          <w:bCs w:val="false"/>
          <w:i w:val="false"/>
          <w:iCs w:val="false"/>
          <w:color w:val="2C3E50"/>
          <w:sz w:val="22"/>
          <w:szCs w:val="22"/>
        </w:rPr>
        <w:t xml:space="preserve">Before your first infusion, our team will work with your referring physician to confirm any necessary labs, imaging, or screening (for example, tuberculosis or hepatitis screening, DEXA bone density for osteoporosis treatments) are complete and current. We do this in advance so your infusion day is smooth.</w:t>
      </w:r>
    </w:p>
    <w:p>
      <w:pPr>
        <w:spacing w:after="80" w:before="320"/>
      </w:pPr>
      <w:r>
        <w:rPr>
          <w:rFonts w:ascii="Calibri" w:cs="Calibri" w:eastAsia="Calibri" w:hAnsi="Calibri"/>
          <w:b/>
          <w:bCs/>
          <w:i w:val="false"/>
          <w:iCs w:val="false"/>
          <w:color w:val="1A6F73"/>
          <w:sz w:val="18"/>
          <w:szCs w:val="18"/>
        </w:rPr>
        <w:t xml:space="preserve">THE DAY OF YOUR INFUSION</w:t>
      </w:r>
    </w:p>
    <w:p>
      <w:pPr>
        <w:spacing w:after="80" w:before="80" w:line="320"/>
        <w:jc w:val="left"/>
      </w:pPr>
      <w:r>
        <w:rPr>
          <w:rFonts w:ascii="Calibri" w:cs="Calibri" w:eastAsia="Calibri" w:hAnsi="Calibri"/>
          <w:b w:val="false"/>
          <w:bCs w:val="false"/>
          <w:i w:val="false"/>
          <w:iCs w:val="false"/>
          <w:color w:val="2C3E50"/>
          <w:sz w:val="22"/>
          <w:szCs w:val="22"/>
        </w:rPr>
        <w:t xml:space="preserve">Plan to arrive about fifteen minutes before your scheduled time. Wear comfortable, loose clothing. Bring something to keep yourself occupied — a book, your phone, a tablet, headphones, knitting. Some patients sleep. Some catch up on email. Some chat with our staff or with other patients in the suite.</w:t>
      </w:r>
    </w:p>
    <w:p>
      <w:pPr>
        <w:spacing w:after="80" w:before="80" w:line="320"/>
        <w:jc w:val="left"/>
      </w:pPr>
      <w:r>
        <w:rPr>
          <w:rFonts w:ascii="Calibri" w:cs="Calibri" w:eastAsia="Calibri" w:hAnsi="Calibri"/>
          <w:b w:val="false"/>
          <w:bCs w:val="false"/>
          <w:i w:val="false"/>
          <w:iCs w:val="false"/>
          <w:color w:val="2C3E50"/>
          <w:sz w:val="22"/>
          <w:szCs w:val="22"/>
        </w:rPr>
        <w:t xml:space="preserve">Eat a normal meal before you arrive unless your physician has told you otherwise. Continue your regular medications unless specifically instructed to hold one. Bring a list of your current medications, supplements, and any recent changes.</w:t>
      </w:r>
    </w:p>
    <w:p>
      <w:pPr>
        <w:spacing w:after="80" w:before="80" w:line="320"/>
        <w:jc w:val="left"/>
      </w:pPr>
      <w:r>
        <w:rPr>
          <w:rFonts w:ascii="Calibri" w:cs="Calibri" w:eastAsia="Calibri" w:hAnsi="Calibri"/>
          <w:b w:val="false"/>
          <w:bCs w:val="false"/>
          <w:i w:val="false"/>
          <w:iCs w:val="false"/>
          <w:color w:val="2C3E50"/>
          <w:sz w:val="22"/>
          <w:szCs w:val="22"/>
        </w:rPr>
        <w:t xml:space="preserve">When you arrive, our team will check your vital signs, review any changes since your last visit, and prepare your medication. A licensed nurse will start your IV. Your physician or supervising provider will be available in the suite throughout your infusion to answer questions and respond to any concerns.</w:t>
      </w:r>
    </w:p>
    <w:p>
      <w:pPr>
        <w:spacing w:after="80" w:before="80" w:line="320"/>
        <w:jc w:val="left"/>
      </w:pPr>
      <w:r>
        <w:rPr>
          <w:rFonts w:ascii="Calibri" w:cs="Calibri" w:eastAsia="Calibri" w:hAnsi="Calibri"/>
          <w:b w:val="false"/>
          <w:bCs w:val="false"/>
          <w:i w:val="false"/>
          <w:iCs w:val="false"/>
          <w:color w:val="2C3E50"/>
          <w:sz w:val="22"/>
          <w:szCs w:val="22"/>
        </w:rPr>
        <w:t xml:space="preserve">Most infusions take between thirty minutes and several hours, depending on the medication. We will tell you exactly how long to expect at the time of scheduling. You may eat, drink, use the restroom, and move around comfortably during your visit.</w:t>
      </w:r>
    </w:p>
    <w:p>
      <w:pPr>
        <w:spacing w:after="80" w:before="320"/>
      </w:pPr>
      <w:r>
        <w:rPr>
          <w:rFonts w:ascii="Calibri" w:cs="Calibri" w:eastAsia="Calibri" w:hAnsi="Calibri"/>
          <w:b/>
          <w:bCs/>
          <w:i w:val="false"/>
          <w:iCs w:val="false"/>
          <w:color w:val="1A6F73"/>
          <w:sz w:val="18"/>
          <w:szCs w:val="18"/>
        </w:rPr>
        <w:t xml:space="preserve">AFTER YOUR INFUSION</w:t>
      </w:r>
    </w:p>
    <w:p>
      <w:pPr>
        <w:spacing w:after="80" w:before="80" w:line="320"/>
        <w:jc w:val="left"/>
      </w:pPr>
      <w:r>
        <w:rPr>
          <w:rFonts w:ascii="Calibri" w:cs="Calibri" w:eastAsia="Calibri" w:hAnsi="Calibri"/>
          <w:b w:val="false"/>
          <w:bCs w:val="false"/>
          <w:i w:val="false"/>
          <w:iCs w:val="false"/>
          <w:color w:val="2C3E50"/>
          <w:sz w:val="22"/>
          <w:szCs w:val="22"/>
        </w:rPr>
        <w:t xml:space="preserve">When your infusion is complete, we will remove your IV, check your vital signs one more time, and review any aftercare instructions specific to your medication. We will schedule your next infusion before you leave so it is on your calendar and ours.</w:t>
      </w:r>
    </w:p>
    <w:p>
      <w:pPr>
        <w:spacing w:after="80" w:before="80" w:line="320"/>
        <w:jc w:val="left"/>
      </w:pPr>
      <w:r>
        <w:rPr>
          <w:rFonts w:ascii="Calibri" w:cs="Calibri" w:eastAsia="Calibri" w:hAnsi="Calibri"/>
          <w:b w:val="false"/>
          <w:bCs w:val="false"/>
          <w:i w:val="false"/>
          <w:iCs w:val="false"/>
          <w:color w:val="2C3E50"/>
          <w:sz w:val="22"/>
          <w:szCs w:val="22"/>
        </w:rPr>
        <w:t xml:space="preserve">We will also send a note to your referring physician's office confirming that you received your medication, how you tolerated it, and when you are scheduled next. Your physician will know everything that happened during your visit.</w:t>
      </w:r>
    </w:p>
    <w:p>
      <w:pPr>
        <w:spacing w:after="80" w:before="80" w:line="320"/>
        <w:jc w:val="left"/>
      </w:pPr>
      <w:r>
        <w:rPr>
          <w:rFonts w:ascii="Calibri" w:cs="Calibri" w:eastAsia="Calibri" w:hAnsi="Calibri"/>
          <w:b w:val="false"/>
          <w:bCs w:val="false"/>
          <w:i w:val="false"/>
          <w:iCs w:val="false"/>
          <w:color w:val="2C3E50"/>
          <w:sz w:val="22"/>
          <w:szCs w:val="22"/>
        </w:rPr>
        <w:t xml:space="preserve">Most patients return to their normal activities immediately. A small number of patients feel tired for the rest of the day — this is normal and usually resolves overnight.</w:t>
      </w:r>
    </w:p>
    <w:p>
      <w:pPr>
        <w:spacing w:after="80" w:before="320"/>
      </w:pPr>
      <w:r>
        <w:rPr>
          <w:rFonts w:ascii="Calibri" w:cs="Calibri" w:eastAsia="Calibri" w:hAnsi="Calibri"/>
          <w:b/>
          <w:bCs/>
          <w:i w:val="false"/>
          <w:iCs w:val="false"/>
          <w:color w:val="1A6F73"/>
          <w:sz w:val="18"/>
          <w:szCs w:val="18"/>
        </w:rPr>
        <w:t xml:space="preserve">FINANCIAL ADVOCACY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73" w:sz="8"/>
              <w:left w:val="single" w:color="1A6F73" w:sz="24"/>
              <w:bottom w:val="single" w:color="1A6F73" w:sz="8"/>
              <w:right w:val="single" w:color="CFE0DE" w:sz="4"/>
            </w:tcBorders>
            <w:shd w:fill="F2F7F7" w:val="clear"/>
            <w:tcMar>
              <w:top w:type="dxa" w:w="200"/>
              <w:left w:type="dxa" w:w="240"/>
              <w:bottom w:type="dxa" w:w="200"/>
              <w:right w:type="dxa" w:w="240"/>
            </w:tcMar>
          </w:tcPr>
          <w:p>
            <w:pPr>
              <w:spacing w:after="80" w:before="0"/>
              <w:jc w:val="left"/>
            </w:pPr>
            <w:r>
              <w:rPr>
                <w:rFonts w:ascii="Calibri" w:cs="Calibri" w:eastAsia="Calibri" w:hAnsi="Calibri"/>
                <w:b/>
                <w:bCs/>
                <w:i w:val="false"/>
                <w:iCs w:val="false"/>
                <w:color w:val="0F3D47"/>
                <w:sz w:val="24"/>
                <w:szCs w:val="24"/>
              </w:rPr>
              <w:t xml:space="preserve">Cost should not stand between you and the treatment your doctor prescribed.</w:t>
            </w:r>
          </w:p>
          <w:p>
            <w:pPr>
              <w:spacing w:after="0" w:before="40" w:line="320"/>
              <w:jc w:val="left"/>
            </w:pPr>
            <w:r>
              <w:rPr>
                <w:rFonts w:ascii="Calibri" w:cs="Calibri" w:eastAsia="Calibri" w:hAnsi="Calibri"/>
                <w:b w:val="false"/>
                <w:bCs w:val="false"/>
                <w:i w:val="false"/>
                <w:iCs w:val="false"/>
                <w:color w:val="2C3E50"/>
                <w:sz w:val="22"/>
                <w:szCs w:val="22"/>
              </w:rPr>
              <w:t xml:space="preserve">Our financial advocacy team is in this business because we have watched too many patients delay or decline care they need because they were afraid of the bill. We work copay assistance programs, manufacturer support, and foundation grants for every patient who needs them. Many of our patients pay little or nothing out of pocket. Before you decline a treatment for financial reasons, please let us run the numbers.</w:t>
            </w:r>
          </w:p>
        </w:tc>
      </w:tr>
    </w:tbl>
    <w:p>
      <w:pPr>
        <w:spacing w:after="80" w:before="320"/>
      </w:pPr>
      <w:r>
        <w:rPr>
          <w:rFonts w:ascii="Calibri" w:cs="Calibri" w:eastAsia="Calibri" w:hAnsi="Calibri"/>
          <w:b/>
          <w:bCs/>
          <w:i w:val="false"/>
          <w:iCs w:val="false"/>
          <w:color w:val="1A6F73"/>
          <w:sz w:val="18"/>
          <w:szCs w:val="18"/>
        </w:rPr>
        <w:t xml:space="preserve">BRINGING A FRIEND OR FAMILY MEMBER</w:t>
      </w:r>
    </w:p>
    <w:p>
      <w:pPr>
        <w:spacing w:after="80" w:before="80" w:line="320"/>
        <w:jc w:val="left"/>
      </w:pPr>
      <w:r>
        <w:rPr>
          <w:rFonts w:ascii="Calibri" w:cs="Calibri" w:eastAsia="Calibri" w:hAnsi="Calibri"/>
          <w:b w:val="false"/>
          <w:bCs w:val="false"/>
          <w:i w:val="false"/>
          <w:iCs w:val="false"/>
          <w:color w:val="2C3E50"/>
          <w:sz w:val="22"/>
          <w:szCs w:val="22"/>
        </w:rPr>
        <w:t xml:space="preserve">You are welcome to bring one companion to your infusion. Most patients prefer to sit alone or with one trusted person. If you would like company, just let us know.</w:t>
      </w:r>
    </w:p>
    <w:p>
      <w:pPr>
        <w:spacing w:after="80" w:before="320"/>
      </w:pPr>
      <w:r>
        <w:rPr>
          <w:rFonts w:ascii="Calibri" w:cs="Calibri" w:eastAsia="Calibri" w:hAnsi="Calibri"/>
          <w:b/>
          <w:bCs/>
          <w:i w:val="false"/>
          <w:iCs w:val="false"/>
          <w:color w:val="1A6F73"/>
          <w:sz w:val="18"/>
          <w:szCs w:val="18"/>
        </w:rPr>
        <w:t xml:space="preserve">PRIVACY AND COMFORT</w:t>
      </w:r>
    </w:p>
    <w:p>
      <w:pPr>
        <w:spacing w:after="80" w:before="80" w:line="320"/>
        <w:jc w:val="left"/>
      </w:pPr>
      <w:r>
        <w:rPr>
          <w:rFonts w:ascii="Calibri" w:cs="Calibri" w:eastAsia="Calibri" w:hAnsi="Calibri"/>
          <w:b w:val="false"/>
          <w:bCs w:val="false"/>
          <w:i w:val="false"/>
          <w:iCs w:val="false"/>
          <w:color w:val="2C3E50"/>
          <w:sz w:val="22"/>
          <w:szCs w:val="22"/>
        </w:rPr>
        <w:t xml:space="preserve">Our infusion suite is private and quiet. You will not be in a crowded room. Our staff knows the rhythms of long-term infusion care — when to chat, when to leave you alone, when to bring you a warm blanket without being asked.</w:t>
      </w:r>
    </w:p>
    <w:p>
      <w:r>
        <w:br w:type="page"/>
      </w:r>
    </w:p>
    <w:p>
      <w:pPr>
        <w:spacing w:after="120" w:before="360"/>
      </w:pPr>
      <w:r>
        <w:rPr>
          <w:rFonts w:ascii="Calibri" w:cs="Calibri" w:eastAsia="Calibri" w:hAnsi="Calibri"/>
          <w:b/>
          <w:bCs/>
          <w:i w:val="false"/>
          <w:iCs w:val="false"/>
          <w:color w:val="0F3D47"/>
          <w:sz w:val="36"/>
          <w:szCs w:val="36"/>
        </w:rPr>
        <w:t xml:space="preserve">Page 6 — For Referring Physicians</w:t>
      </w:r>
    </w:p>
    <w:p>
      <w:pPr>
        <w:spacing w:after="240" w:before="0"/>
      </w:pPr>
      <w:r>
        <w:rPr>
          <w:rFonts w:ascii="Calibri" w:cs="Calibri" w:eastAsia="Calibri" w:hAnsi="Calibri"/>
          <w:b w:val="false"/>
          <w:bCs w:val="false"/>
          <w:i/>
          <w:iCs/>
          <w:color w:val="1A6F73"/>
          <w:sz w:val="24"/>
          <w:szCs w:val="24"/>
        </w:rPr>
        <w:t xml:space="preserve">The infusion partner your patients deserve</w:t>
      </w:r>
    </w:p>
    <w:p>
      <w:pPr>
        <w:spacing w:after="80" w:before="320"/>
      </w:pPr>
      <w:r>
        <w:rPr>
          <w:rFonts w:ascii="Calibri" w:cs="Calibri" w:eastAsia="Calibri" w:hAnsi="Calibri"/>
          <w:b/>
          <w:bCs/>
          <w:i w:val="false"/>
          <w:iCs w:val="false"/>
          <w:color w:val="1A6F73"/>
          <w:sz w:val="18"/>
          <w:szCs w:val="18"/>
        </w:rPr>
        <w:t xml:space="preserve">PAGE HEADER</w:t>
      </w:r>
    </w:p>
    <w:p>
      <w:pPr>
        <w:spacing w:after="120" w:before="240"/>
      </w:pPr>
      <w:r>
        <w:rPr>
          <w:rFonts w:ascii="Calibri" w:cs="Calibri" w:eastAsia="Calibri" w:hAnsi="Calibri"/>
          <w:b/>
          <w:bCs/>
          <w:i w:val="false"/>
          <w:iCs w:val="false"/>
          <w:color w:val="1A6F73"/>
          <w:sz w:val="26"/>
          <w:szCs w:val="26"/>
        </w:rPr>
        <w:t xml:space="preserve">One Referral. Zero Hassle. Your Patient Is in Expert Hands.</w:t>
      </w:r>
    </w:p>
    <w:p>
      <w:pPr>
        <w:spacing w:after="160" w:before="80" w:line="340"/>
        <w:jc w:val="left"/>
      </w:pPr>
      <w:r>
        <w:rPr>
          <w:rFonts w:ascii="Calibri" w:cs="Calibri" w:eastAsia="Calibri" w:hAnsi="Calibri"/>
          <w:b w:val="false"/>
          <w:bCs w:val="false"/>
          <w:i w:val="false"/>
          <w:iCs w:val="false"/>
          <w:color w:val="2C3E50"/>
          <w:sz w:val="24"/>
          <w:szCs w:val="24"/>
        </w:rPr>
        <w:t xml:space="preserve">You spend your time making clinical decisions. We spend ours making sure those decisions translate into infusions that actually happen — on time, on schedule, with full insurance coverage, and with the clinical communication you need to manage the patient effectively.</w:t>
      </w:r>
    </w:p>
    <w:p>
      <w:pPr>
        <w:spacing w:after="80" w:before="320"/>
      </w:pPr>
      <w:r>
        <w:rPr>
          <w:rFonts w:ascii="Calibri" w:cs="Calibri" w:eastAsia="Calibri" w:hAnsi="Calibri"/>
          <w:b/>
          <w:bCs/>
          <w:i w:val="false"/>
          <w:iCs w:val="false"/>
          <w:color w:val="1A6F73"/>
          <w:sz w:val="18"/>
          <w:szCs w:val="18"/>
        </w:rPr>
        <w:t xml:space="preserve">WHY REFER TO KIRKLAND SPECIALTY INFUSION CENTER</w:t>
      </w:r>
    </w:p>
    <w:p>
      <w:pPr>
        <w:spacing w:after="80" w:before="180"/>
      </w:pPr>
      <w:r>
        <w:rPr>
          <w:rFonts w:ascii="Calibri" w:cs="Calibri" w:eastAsia="Calibri" w:hAnsi="Calibri"/>
          <w:b/>
          <w:bCs/>
          <w:i w:val="false"/>
          <w:iCs w:val="false"/>
          <w:color w:val="0F3D47"/>
          <w:sz w:val="22"/>
          <w:szCs w:val="22"/>
        </w:rPr>
        <w:t xml:space="preserve">A Physician Is Always Present</w:t>
      </w:r>
    </w:p>
    <w:p>
      <w:pPr>
        <w:spacing w:after="80" w:before="80" w:line="320"/>
        <w:jc w:val="left"/>
      </w:pPr>
      <w:r>
        <w:rPr>
          <w:rFonts w:ascii="Calibri" w:cs="Calibri" w:eastAsia="Calibri" w:hAnsi="Calibri"/>
          <w:b w:val="false"/>
          <w:bCs w:val="false"/>
          <w:i w:val="false"/>
          <w:iCs w:val="false"/>
          <w:color w:val="2C3E50"/>
          <w:sz w:val="22"/>
          <w:szCs w:val="22"/>
        </w:rPr>
        <w:t xml:space="preserve">Every infusion we administer is supervised by a physician or licensed provider — on-site, in real time. Most outpatient infusion centers cannot say this. We can. Your patient is never in a chair without clinical oversight. That is your peace of mind, and theirs.</w:t>
      </w:r>
    </w:p>
    <w:p>
      <w:pPr>
        <w:spacing w:after="80" w:before="180"/>
      </w:pPr>
      <w:r>
        <w:rPr>
          <w:rFonts w:ascii="Calibri" w:cs="Calibri" w:eastAsia="Calibri" w:hAnsi="Calibri"/>
          <w:b/>
          <w:bCs/>
          <w:i w:val="false"/>
          <w:iCs w:val="false"/>
          <w:color w:val="0F3D47"/>
          <w:sz w:val="22"/>
          <w:szCs w:val="22"/>
        </w:rPr>
        <w:t xml:space="preserve">We Close the Loop With You</w:t>
      </w:r>
    </w:p>
    <w:p>
      <w:pPr>
        <w:spacing w:after="80" w:before="80" w:line="320"/>
        <w:jc w:val="left"/>
      </w:pPr>
      <w:r>
        <w:rPr>
          <w:rFonts w:ascii="Calibri" w:cs="Calibri" w:eastAsia="Calibri" w:hAnsi="Calibri"/>
          <w:b w:val="false"/>
          <w:bCs w:val="false"/>
          <w:i w:val="false"/>
          <w:iCs w:val="false"/>
          <w:color w:val="2C3E50"/>
          <w:sz w:val="22"/>
          <w:szCs w:val="22"/>
        </w:rPr>
        <w:t xml:space="preserve">We communicate back to your office after every infusion. You will know your patient received their medication, tolerated it well, and is scheduled for their next dose. No black box. No wondering. No surprises at the next follow-up.</w:t>
      </w:r>
    </w:p>
    <w:p>
      <w:pPr>
        <w:spacing w:after="80" w:before="180"/>
      </w:pPr>
      <w:r>
        <w:rPr>
          <w:rFonts w:ascii="Calibri" w:cs="Calibri" w:eastAsia="Calibri" w:hAnsi="Calibri"/>
          <w:b/>
          <w:bCs/>
          <w:i w:val="false"/>
          <w:iCs w:val="false"/>
          <w:color w:val="0F3D47"/>
          <w:sz w:val="22"/>
          <w:szCs w:val="22"/>
        </w:rPr>
        <w:t xml:space="preserve">We Handle Everything Your Office Should Not Have To</w:t>
      </w:r>
    </w:p>
    <w:p>
      <w:pPr>
        <w:spacing w:after="80" w:before="80" w:line="320"/>
        <w:jc w:val="left"/>
      </w:pPr>
      <w:r>
        <w:rPr>
          <w:rFonts w:ascii="Calibri" w:cs="Calibri" w:eastAsia="Calibri" w:hAnsi="Calibri"/>
          <w:b w:val="false"/>
          <w:bCs w:val="false"/>
          <w:i w:val="false"/>
          <w:iCs w:val="false"/>
          <w:color w:val="2C3E50"/>
          <w:sz w:val="22"/>
          <w:szCs w:val="22"/>
        </w:rPr>
        <w:t xml:space="preserve">Prior authorizations. Peer-to-peer reviews. Copay cards. Patient assistance programs. Foundation grant applications. Insurance appeals. Pre-infusion lab coordination. DEXA scheduling. Same-day adjustments. Our team manages it all. Your staff sends the referral. We do the rest.</w:t>
      </w:r>
    </w:p>
    <w:p>
      <w:pPr>
        <w:spacing w:after="80" w:before="180"/>
      </w:pPr>
      <w:r>
        <w:rPr>
          <w:rFonts w:ascii="Calibri" w:cs="Calibri" w:eastAsia="Calibri" w:hAnsi="Calibri"/>
          <w:b/>
          <w:bCs/>
          <w:i w:val="false"/>
          <w:iCs w:val="false"/>
          <w:color w:val="0F3D47"/>
          <w:sz w:val="22"/>
          <w:szCs w:val="22"/>
        </w:rPr>
        <w:t xml:space="preserve">Patients Arrive Prepared</w:t>
      </w:r>
    </w:p>
    <w:p>
      <w:pPr>
        <w:spacing w:after="80" w:before="80" w:line="320"/>
        <w:jc w:val="left"/>
      </w:pPr>
      <w:r>
        <w:rPr>
          <w:rFonts w:ascii="Calibri" w:cs="Calibri" w:eastAsia="Calibri" w:hAnsi="Calibri"/>
          <w:b w:val="false"/>
          <w:bCs w:val="false"/>
          <w:i w:val="false"/>
          <w:iCs w:val="false"/>
          <w:color w:val="2C3E50"/>
          <w:sz w:val="22"/>
          <w:szCs w:val="22"/>
        </w:rPr>
        <w:t xml:space="preserve">We confirm labs, coordinate DEXA scans where indicated, screen for any health changes before infusion day, and verify premedication compliance. No last-minute surprises. No delays. No wasted chair time.</w:t>
      </w:r>
    </w:p>
    <w:p>
      <w:pPr>
        <w:spacing w:after="80" w:before="180"/>
      </w:pPr>
      <w:r>
        <w:rPr>
          <w:rFonts w:ascii="Calibri" w:cs="Calibri" w:eastAsia="Calibri" w:hAnsi="Calibri"/>
          <w:b/>
          <w:bCs/>
          <w:i w:val="false"/>
          <w:iCs w:val="false"/>
          <w:color w:val="0F3D47"/>
          <w:sz w:val="22"/>
          <w:szCs w:val="22"/>
        </w:rPr>
        <w:t xml:space="preserve">We Keep Patients on Schedule</w:t>
      </w:r>
    </w:p>
    <w:p>
      <w:pPr>
        <w:spacing w:after="80" w:before="80" w:line="320"/>
        <w:jc w:val="left"/>
      </w:pPr>
      <w:r>
        <w:rPr>
          <w:rFonts w:ascii="Calibri" w:cs="Calibri" w:eastAsia="Calibri" w:hAnsi="Calibri"/>
          <w:b w:val="false"/>
          <w:bCs w:val="false"/>
          <w:i w:val="false"/>
          <w:iCs w:val="false"/>
          <w:color w:val="2C3E50"/>
          <w:sz w:val="22"/>
          <w:szCs w:val="22"/>
        </w:rPr>
        <w:t xml:space="preserve">We book follow-up appointments before the patient leaves and send reminders to ensure compliance — protecting your treatment plan and improving your outcomes data. Adherence is the most powerful lever in chronic immunologic and inflammatory disease, and we treat it accordingly.</w:t>
      </w:r>
    </w:p>
    <w:p>
      <w:pPr>
        <w:spacing w:after="80" w:before="320"/>
      </w:pPr>
      <w:r>
        <w:rPr>
          <w:rFonts w:ascii="Calibri" w:cs="Calibri" w:eastAsia="Calibri" w:hAnsi="Calibri"/>
          <w:b/>
          <w:bCs/>
          <w:i w:val="false"/>
          <w:iCs w:val="false"/>
          <w:color w:val="1A6F73"/>
          <w:sz w:val="18"/>
          <w:szCs w:val="18"/>
        </w:rPr>
        <w:t xml:space="preserve">OUR SIX-STEP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6F73" w:val="clear"/>
            <w:tcMar>
              <w:top w:type="dxa" w:w="160"/>
              <w:left w:type="dxa" w:w="80"/>
              <w:bottom w:type="dxa" w:w="160"/>
              <w:right w:type="dxa" w:w="80"/>
            </w:tcMar>
          </w:tcPr>
          <w:p>
            <w:pPr>
              <w:spacing w:after="80" w:before="80" w:line="320"/>
              <w:jc w:val="center"/>
            </w:pPr>
            <w:r>
              <w:rPr>
                <w:rFonts w:ascii="Calibri" w:cs="Calibri" w:eastAsia="Calibri" w:hAnsi="Calibri"/>
                <w:b/>
                <w:bCs/>
                <w:i w:val="false"/>
                <w:iCs w:val="false"/>
                <w:color w:val="FFFFFF"/>
                <w:sz w:val="36"/>
                <w:szCs w:val="36"/>
              </w:rPr>
              <w:t xml:space="preserve">1</w:t>
            </w:r>
          </w:p>
        </w:tc>
        <w:tc>
          <w:tcPr>
            <w:tcW w:type="dxa" w:w="8460"/>
            <w:tcBorders>
              <w:top w:val="single" w:color="CFE0DE" w:sz="4"/>
              <w:left w:val="none" w:color="FFFFFF" w:sz="0"/>
              <w:bottom w:val="single" w:color="CFE0DE" w:sz="4"/>
              <w:right w:val="single" w:color="CFE0DE" w:sz="4"/>
            </w:tcBorders>
            <w:shd w:fill="FFFFFF" w:val="clear"/>
            <w:tcMar>
              <w:top w:type="dxa" w:w="160"/>
              <w:left w:type="dxa" w:w="240"/>
              <w:bottom w:type="dxa" w:w="160"/>
              <w:right w:type="dxa" w:w="200"/>
            </w:tcMar>
          </w:tcPr>
          <w:p>
            <w:pPr>
              <w:spacing w:after="60" w:before="0"/>
              <w:jc w:val="left"/>
            </w:pPr>
            <w:r>
              <w:rPr>
                <w:rFonts w:ascii="Calibri" w:cs="Calibri" w:eastAsia="Calibri" w:hAnsi="Calibri"/>
                <w:b/>
                <w:bCs/>
                <w:i w:val="false"/>
                <w:iCs w:val="false"/>
                <w:color w:val="0F3D47"/>
                <w:sz w:val="24"/>
                <w:szCs w:val="24"/>
              </w:rPr>
              <w:t xml:space="preserve">Referral &amp; Intake</w:t>
            </w:r>
          </w:p>
          <w:p>
            <w:pPr>
              <w:spacing w:after="0" w:before="40" w:line="320"/>
              <w:jc w:val="left"/>
            </w:pPr>
            <w:r>
              <w:rPr>
                <w:rFonts w:ascii="Calibri" w:cs="Calibri" w:eastAsia="Calibri" w:hAnsi="Calibri"/>
                <w:b w:val="false"/>
                <w:bCs w:val="false"/>
                <w:i w:val="false"/>
                <w:iCs w:val="false"/>
                <w:color w:val="2C3E50"/>
                <w:sz w:val="22"/>
                <w:szCs w:val="22"/>
              </w:rPr>
              <w:t xml:space="preserve">We receive your referral, verify insurance, and schedule the patient at their earliest convenience.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6F73" w:val="clear"/>
            <w:tcMar>
              <w:top w:type="dxa" w:w="160"/>
              <w:left w:type="dxa" w:w="80"/>
              <w:bottom w:type="dxa" w:w="160"/>
              <w:right w:type="dxa" w:w="80"/>
            </w:tcMar>
          </w:tcPr>
          <w:p>
            <w:pPr>
              <w:spacing w:after="80" w:before="80" w:line="320"/>
              <w:jc w:val="center"/>
            </w:pPr>
            <w:r>
              <w:rPr>
                <w:rFonts w:ascii="Calibri" w:cs="Calibri" w:eastAsia="Calibri" w:hAnsi="Calibri"/>
                <w:b/>
                <w:bCs/>
                <w:i w:val="false"/>
                <w:iCs w:val="false"/>
                <w:color w:val="FFFFFF"/>
                <w:sz w:val="36"/>
                <w:szCs w:val="36"/>
              </w:rPr>
              <w:t xml:space="preserve">2</w:t>
            </w:r>
          </w:p>
        </w:tc>
        <w:tc>
          <w:tcPr>
            <w:tcW w:type="dxa" w:w="8460"/>
            <w:tcBorders>
              <w:top w:val="single" w:color="CFE0DE" w:sz="4"/>
              <w:left w:val="none" w:color="FFFFFF" w:sz="0"/>
              <w:bottom w:val="single" w:color="CFE0DE" w:sz="4"/>
              <w:right w:val="single" w:color="CFE0DE" w:sz="4"/>
            </w:tcBorders>
            <w:shd w:fill="FFFFFF" w:val="clear"/>
            <w:tcMar>
              <w:top w:type="dxa" w:w="160"/>
              <w:left w:type="dxa" w:w="240"/>
              <w:bottom w:type="dxa" w:w="160"/>
              <w:right w:type="dxa" w:w="200"/>
            </w:tcMar>
          </w:tcPr>
          <w:p>
            <w:pPr>
              <w:spacing w:after="60" w:before="0"/>
              <w:jc w:val="left"/>
            </w:pPr>
            <w:r>
              <w:rPr>
                <w:rFonts w:ascii="Calibri" w:cs="Calibri" w:eastAsia="Calibri" w:hAnsi="Calibri"/>
                <w:b/>
                <w:bCs/>
                <w:i w:val="false"/>
                <w:iCs w:val="false"/>
                <w:color w:val="0F3D47"/>
                <w:sz w:val="24"/>
                <w:szCs w:val="24"/>
              </w:rPr>
              <w:t xml:space="preserve">Prior Authorization</w:t>
            </w:r>
          </w:p>
          <w:p>
            <w:pPr>
              <w:spacing w:after="0" w:before="40" w:line="320"/>
              <w:jc w:val="left"/>
            </w:pPr>
            <w:r>
              <w:rPr>
                <w:rFonts w:ascii="Calibri" w:cs="Calibri" w:eastAsia="Calibri" w:hAnsi="Calibri"/>
                <w:b w:val="false"/>
                <w:bCs w:val="false"/>
                <w:i w:val="false"/>
                <w:iCs w:val="false"/>
                <w:color w:val="2C3E50"/>
                <w:sz w:val="22"/>
                <w:szCs w:val="22"/>
              </w:rPr>
              <w:t xml:space="preserve">Our team handles the full prior authorization process — including documentation, peer-to-peer support, and appeals — minimizing the work for your office.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6F73" w:val="clear"/>
            <w:tcMar>
              <w:top w:type="dxa" w:w="160"/>
              <w:left w:type="dxa" w:w="80"/>
              <w:bottom w:type="dxa" w:w="160"/>
              <w:right w:type="dxa" w:w="80"/>
            </w:tcMar>
          </w:tcPr>
          <w:p>
            <w:pPr>
              <w:spacing w:after="80" w:before="80" w:line="320"/>
              <w:jc w:val="center"/>
            </w:pPr>
            <w:r>
              <w:rPr>
                <w:rFonts w:ascii="Calibri" w:cs="Calibri" w:eastAsia="Calibri" w:hAnsi="Calibri"/>
                <w:b/>
                <w:bCs/>
                <w:i w:val="false"/>
                <w:iCs w:val="false"/>
                <w:color w:val="FFFFFF"/>
                <w:sz w:val="36"/>
                <w:szCs w:val="36"/>
              </w:rPr>
              <w:t xml:space="preserve">3</w:t>
            </w:r>
          </w:p>
        </w:tc>
        <w:tc>
          <w:tcPr>
            <w:tcW w:type="dxa" w:w="8460"/>
            <w:tcBorders>
              <w:top w:val="single" w:color="CFE0DE" w:sz="4"/>
              <w:left w:val="none" w:color="FFFFFF" w:sz="0"/>
              <w:bottom w:val="single" w:color="CFE0DE" w:sz="4"/>
              <w:right w:val="single" w:color="CFE0DE" w:sz="4"/>
            </w:tcBorders>
            <w:shd w:fill="FFFFFF" w:val="clear"/>
            <w:tcMar>
              <w:top w:type="dxa" w:w="160"/>
              <w:left w:type="dxa" w:w="240"/>
              <w:bottom w:type="dxa" w:w="160"/>
              <w:right w:type="dxa" w:w="200"/>
            </w:tcMar>
          </w:tcPr>
          <w:p>
            <w:pPr>
              <w:spacing w:after="60" w:before="0"/>
              <w:jc w:val="left"/>
            </w:pPr>
            <w:r>
              <w:rPr>
                <w:rFonts w:ascii="Calibri" w:cs="Calibri" w:eastAsia="Calibri" w:hAnsi="Calibri"/>
                <w:b/>
                <w:bCs/>
                <w:i w:val="false"/>
                <w:iCs w:val="false"/>
                <w:color w:val="0F3D47"/>
                <w:sz w:val="24"/>
                <w:szCs w:val="24"/>
              </w:rPr>
              <w:t xml:space="preserve">Financial Advocacy</w:t>
            </w:r>
          </w:p>
          <w:p>
            <w:pPr>
              <w:spacing w:after="0" w:before="40" w:line="320"/>
              <w:jc w:val="left"/>
            </w:pPr>
            <w:r>
              <w:rPr>
                <w:rFonts w:ascii="Calibri" w:cs="Calibri" w:eastAsia="Calibri" w:hAnsi="Calibri"/>
                <w:b w:val="false"/>
                <w:bCs w:val="false"/>
                <w:i w:val="false"/>
                <w:iCs w:val="false"/>
                <w:color w:val="2C3E50"/>
                <w:sz w:val="22"/>
                <w:szCs w:val="22"/>
              </w:rPr>
              <w:t xml:space="preserve">We help patients access copay assistance, manufacturer support programs, and foundation grants to reduce financial barriers to care.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6F73" w:val="clear"/>
            <w:tcMar>
              <w:top w:type="dxa" w:w="160"/>
              <w:left w:type="dxa" w:w="80"/>
              <w:bottom w:type="dxa" w:w="160"/>
              <w:right w:type="dxa" w:w="80"/>
            </w:tcMar>
          </w:tcPr>
          <w:p>
            <w:pPr>
              <w:spacing w:after="80" w:before="80" w:line="320"/>
              <w:jc w:val="center"/>
            </w:pPr>
            <w:r>
              <w:rPr>
                <w:rFonts w:ascii="Calibri" w:cs="Calibri" w:eastAsia="Calibri" w:hAnsi="Calibri"/>
                <w:b/>
                <w:bCs/>
                <w:i w:val="false"/>
                <w:iCs w:val="false"/>
                <w:color w:val="FFFFFF"/>
                <w:sz w:val="36"/>
                <w:szCs w:val="36"/>
              </w:rPr>
              <w:t xml:space="preserve">4</w:t>
            </w:r>
          </w:p>
        </w:tc>
        <w:tc>
          <w:tcPr>
            <w:tcW w:type="dxa" w:w="8460"/>
            <w:tcBorders>
              <w:top w:val="single" w:color="CFE0DE" w:sz="4"/>
              <w:left w:val="none" w:color="FFFFFF" w:sz="0"/>
              <w:bottom w:val="single" w:color="CFE0DE" w:sz="4"/>
              <w:right w:val="single" w:color="CFE0DE" w:sz="4"/>
            </w:tcBorders>
            <w:shd w:fill="FFFFFF" w:val="clear"/>
            <w:tcMar>
              <w:top w:type="dxa" w:w="160"/>
              <w:left w:type="dxa" w:w="240"/>
              <w:bottom w:type="dxa" w:w="160"/>
              <w:right w:type="dxa" w:w="200"/>
            </w:tcMar>
          </w:tcPr>
          <w:p>
            <w:pPr>
              <w:spacing w:after="60" w:before="0"/>
              <w:jc w:val="left"/>
            </w:pPr>
            <w:r>
              <w:rPr>
                <w:rFonts w:ascii="Calibri" w:cs="Calibri" w:eastAsia="Calibri" w:hAnsi="Calibri"/>
                <w:b/>
                <w:bCs/>
                <w:i w:val="false"/>
                <w:iCs w:val="false"/>
                <w:color w:val="0F3D47"/>
                <w:sz w:val="24"/>
                <w:szCs w:val="24"/>
              </w:rPr>
              <w:t xml:space="preserve">Pre-Infusion Safety Review</w:t>
            </w:r>
          </w:p>
          <w:p>
            <w:pPr>
              <w:spacing w:after="0" w:before="40" w:line="320"/>
              <w:jc w:val="left"/>
            </w:pPr>
            <w:r>
              <w:rPr>
                <w:rFonts w:ascii="Calibri" w:cs="Calibri" w:eastAsia="Calibri" w:hAnsi="Calibri"/>
                <w:b w:val="false"/>
                <w:bCs w:val="false"/>
                <w:i w:val="false"/>
                <w:iCs w:val="false"/>
                <w:color w:val="2C3E50"/>
                <w:sz w:val="22"/>
                <w:szCs w:val="22"/>
              </w:rPr>
              <w:t xml:space="preserve">We coordinate with referring providers to confirm labs, DEXA results when needed, and clinical baselines to help avoid treatment delays.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6F73" w:val="clear"/>
            <w:tcMar>
              <w:top w:type="dxa" w:w="160"/>
              <w:left w:type="dxa" w:w="80"/>
              <w:bottom w:type="dxa" w:w="160"/>
              <w:right w:type="dxa" w:w="80"/>
            </w:tcMar>
          </w:tcPr>
          <w:p>
            <w:pPr>
              <w:spacing w:after="80" w:before="80" w:line="320"/>
              <w:jc w:val="center"/>
            </w:pPr>
            <w:r>
              <w:rPr>
                <w:rFonts w:ascii="Calibri" w:cs="Calibri" w:eastAsia="Calibri" w:hAnsi="Calibri"/>
                <w:b/>
                <w:bCs/>
                <w:i w:val="false"/>
                <w:iCs w:val="false"/>
                <w:color w:val="FFFFFF"/>
                <w:sz w:val="36"/>
                <w:szCs w:val="36"/>
              </w:rPr>
              <w:t xml:space="preserve">5</w:t>
            </w:r>
          </w:p>
        </w:tc>
        <w:tc>
          <w:tcPr>
            <w:tcW w:type="dxa" w:w="8460"/>
            <w:tcBorders>
              <w:top w:val="single" w:color="CFE0DE" w:sz="4"/>
              <w:left w:val="none" w:color="FFFFFF" w:sz="0"/>
              <w:bottom w:val="single" w:color="CFE0DE" w:sz="4"/>
              <w:right w:val="single" w:color="CFE0DE" w:sz="4"/>
            </w:tcBorders>
            <w:shd w:fill="FFFFFF" w:val="clear"/>
            <w:tcMar>
              <w:top w:type="dxa" w:w="160"/>
              <w:left w:type="dxa" w:w="240"/>
              <w:bottom w:type="dxa" w:w="160"/>
              <w:right w:type="dxa" w:w="200"/>
            </w:tcMar>
          </w:tcPr>
          <w:p>
            <w:pPr>
              <w:spacing w:after="60" w:before="0"/>
              <w:jc w:val="left"/>
            </w:pPr>
            <w:r>
              <w:rPr>
                <w:rFonts w:ascii="Calibri" w:cs="Calibri" w:eastAsia="Calibri" w:hAnsi="Calibri"/>
                <w:b/>
                <w:bCs/>
                <w:i w:val="false"/>
                <w:iCs w:val="false"/>
                <w:color w:val="0F3D47"/>
                <w:sz w:val="24"/>
                <w:szCs w:val="24"/>
              </w:rPr>
              <w:t xml:space="preserve">Infusion Day</w:t>
            </w:r>
          </w:p>
          <w:p>
            <w:pPr>
              <w:spacing w:after="0" w:before="40" w:line="320"/>
              <w:jc w:val="left"/>
            </w:pPr>
            <w:r>
              <w:rPr>
                <w:rFonts w:ascii="Calibri" w:cs="Calibri" w:eastAsia="Calibri" w:hAnsi="Calibri"/>
                <w:b w:val="false"/>
                <w:bCs w:val="false"/>
                <w:i w:val="false"/>
                <w:iCs w:val="false"/>
                <w:color w:val="2C3E50"/>
                <w:sz w:val="22"/>
                <w:szCs w:val="22"/>
              </w:rPr>
              <w:t xml:space="preserve">Patients receive care in a calm, private setting with licensed medical staff and a supervising physician available for clinical guidance and medication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6F73" w:val="clear"/>
            <w:tcMar>
              <w:top w:type="dxa" w:w="160"/>
              <w:left w:type="dxa" w:w="80"/>
              <w:bottom w:type="dxa" w:w="160"/>
              <w:right w:type="dxa" w:w="80"/>
            </w:tcMar>
          </w:tcPr>
          <w:p>
            <w:pPr>
              <w:spacing w:after="80" w:before="80" w:line="320"/>
              <w:jc w:val="center"/>
            </w:pPr>
            <w:r>
              <w:rPr>
                <w:rFonts w:ascii="Calibri" w:cs="Calibri" w:eastAsia="Calibri" w:hAnsi="Calibri"/>
                <w:b/>
                <w:bCs/>
                <w:i w:val="false"/>
                <w:iCs w:val="false"/>
                <w:color w:val="FFFFFF"/>
                <w:sz w:val="36"/>
                <w:szCs w:val="36"/>
              </w:rPr>
              <w:t xml:space="preserve">6</w:t>
            </w:r>
          </w:p>
        </w:tc>
        <w:tc>
          <w:tcPr>
            <w:tcW w:type="dxa" w:w="8460"/>
            <w:tcBorders>
              <w:top w:val="single" w:color="CFE0DE" w:sz="4"/>
              <w:left w:val="none" w:color="FFFFFF" w:sz="0"/>
              <w:bottom w:val="single" w:color="CFE0DE" w:sz="4"/>
              <w:right w:val="single" w:color="CFE0DE" w:sz="4"/>
            </w:tcBorders>
            <w:shd w:fill="FFFFFF" w:val="clear"/>
            <w:tcMar>
              <w:top w:type="dxa" w:w="160"/>
              <w:left w:type="dxa" w:w="240"/>
              <w:bottom w:type="dxa" w:w="160"/>
              <w:right w:type="dxa" w:w="200"/>
            </w:tcMar>
          </w:tcPr>
          <w:p>
            <w:pPr>
              <w:spacing w:after="60" w:before="0"/>
              <w:jc w:val="left"/>
            </w:pPr>
            <w:r>
              <w:rPr>
                <w:rFonts w:ascii="Calibri" w:cs="Calibri" w:eastAsia="Calibri" w:hAnsi="Calibri"/>
                <w:b/>
                <w:bCs/>
                <w:i w:val="false"/>
                <w:iCs w:val="false"/>
                <w:color w:val="0F3D47"/>
                <w:sz w:val="24"/>
                <w:szCs w:val="24"/>
              </w:rPr>
              <w:t xml:space="preserve">Follow-Up &amp; Compliance</w:t>
            </w:r>
          </w:p>
          <w:p>
            <w:pPr>
              <w:spacing w:after="0" w:before="40" w:line="320"/>
              <w:jc w:val="left"/>
            </w:pPr>
            <w:r>
              <w:rPr>
                <w:rFonts w:ascii="Calibri" w:cs="Calibri" w:eastAsia="Calibri" w:hAnsi="Calibri"/>
                <w:b w:val="false"/>
                <w:bCs w:val="false"/>
                <w:i w:val="false"/>
                <w:iCs w:val="false"/>
                <w:color w:val="2C3E50"/>
                <w:sz w:val="22"/>
                <w:szCs w:val="22"/>
              </w:rPr>
              <w:t xml:space="preserve">We schedule future infusions and send reminders to support adherence and treatment continuity, with a clinical note returned to your office after every visit.</w:t>
            </w:r>
          </w:p>
        </w:tc>
      </w:tr>
    </w:tbl>
    <w:p>
      <w:pPr>
        <w:spacing w:after="80" w:before="320"/>
      </w:pPr>
      <w:r>
        <w:rPr>
          <w:rFonts w:ascii="Calibri" w:cs="Calibri" w:eastAsia="Calibri" w:hAnsi="Calibri"/>
          <w:b/>
          <w:bCs/>
          <w:i w:val="false"/>
          <w:iCs w:val="false"/>
          <w:color w:val="1A6F73"/>
          <w:sz w:val="18"/>
          <w:szCs w:val="18"/>
        </w:rPr>
        <w:t xml:space="preserve">HOW TO REFER A PATIENT</w:t>
      </w:r>
    </w:p>
    <w:p>
      <w:pPr>
        <w:spacing w:after="80" w:before="80" w:line="320"/>
        <w:jc w:val="left"/>
      </w:pPr>
      <w:r>
        <w:rPr>
          <w:rFonts w:ascii="Calibri" w:cs="Calibri" w:eastAsia="Calibri" w:hAnsi="Calibri"/>
          <w:b w:val="false"/>
          <w:bCs w:val="false"/>
          <w:i w:val="false"/>
          <w:iCs w:val="false"/>
          <w:color w:val="2C3E50"/>
          <w:sz w:val="22"/>
          <w:szCs w:val="22"/>
        </w:rPr>
        <w:t xml:space="preserve">We accept referrals by fax, secure email, e-fax, electronic referral, or phone. Choose whichever method is easiest for your office.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FE0DE" w:sz="4"/>
              <w:left w:val="single" w:color="CFE0DE" w:sz="4"/>
              <w:bottom w:val="single" w:color="CFE0DE" w:sz="4"/>
              <w:right w:val="single" w:color="CFE0DE" w:sz="4"/>
            </w:tcBorders>
            <w:shd w:fill="F2F7F7"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0F3D47"/>
                <w:sz w:val="22"/>
                <w:szCs w:val="22"/>
              </w:rPr>
              <w:t xml:space="preserve">Fax</w:t>
            </w:r>
          </w:p>
        </w:tc>
        <w:tc>
          <w:tcPr>
            <w:tcW w:type="dxa" w:w="7020"/>
            <w:tcBorders>
              <w:top w:val="single" w:color="CFE0DE" w:sz="4"/>
              <w:left w:val="single" w:color="CFE0DE" w:sz="4"/>
              <w:bottom w:val="single" w:color="CFE0DE" w:sz="4"/>
              <w:right w:val="single" w:color="CFE0DE"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val="false"/>
                <w:iCs w:val="false"/>
                <w:color w:val="2C3E50"/>
                <w:sz w:val="22"/>
                <w:szCs w:val="22"/>
              </w:rPr>
              <w:t xml:space="preserve">(425) 533-2540 — Attention: Infusion Intake</w:t>
            </w:r>
          </w:p>
        </w:tc>
      </w:tr>
      <w:tr>
        <w:tc>
          <w:tcPr>
            <w:tcW w:type="dxa" w:w="2340"/>
            <w:tcBorders>
              <w:top w:val="single" w:color="CFE0DE" w:sz="4"/>
              <w:left w:val="single" w:color="CFE0DE" w:sz="4"/>
              <w:bottom w:val="single" w:color="CFE0DE" w:sz="4"/>
              <w:right w:val="single" w:color="CFE0DE" w:sz="4"/>
            </w:tcBorders>
            <w:shd w:fill="F2F7F7"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0F3D47"/>
                <w:sz w:val="22"/>
                <w:szCs w:val="22"/>
              </w:rPr>
              <w:t xml:space="preserve">Phone</w:t>
            </w:r>
          </w:p>
        </w:tc>
        <w:tc>
          <w:tcPr>
            <w:tcW w:type="dxa" w:w="7020"/>
            <w:tcBorders>
              <w:top w:val="single" w:color="CFE0DE" w:sz="4"/>
              <w:left w:val="single" w:color="CFE0DE" w:sz="4"/>
              <w:bottom w:val="single" w:color="CFE0DE" w:sz="4"/>
              <w:right w:val="single" w:color="CFE0DE"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val="false"/>
                <w:iCs w:val="false"/>
                <w:color w:val="2C3E50"/>
                <w:sz w:val="22"/>
                <w:szCs w:val="22"/>
              </w:rPr>
              <w:t xml:space="preserve">(425) 453-0766 ext. 105 — Mon–Fri, 7:30 AM – 5:00 PM</w:t>
            </w:r>
          </w:p>
        </w:tc>
      </w:tr>
      <w:tr>
        <w:tc>
          <w:tcPr>
            <w:tcW w:type="dxa" w:w="2340"/>
            <w:tcBorders>
              <w:top w:val="single" w:color="CFE0DE" w:sz="4"/>
              <w:left w:val="single" w:color="CFE0DE" w:sz="4"/>
              <w:bottom w:val="single" w:color="CFE0DE" w:sz="4"/>
              <w:right w:val="single" w:color="CFE0DE" w:sz="4"/>
            </w:tcBorders>
            <w:shd w:fill="F2F7F7"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0F3D47"/>
                <w:sz w:val="22"/>
                <w:szCs w:val="22"/>
              </w:rPr>
              <w:t xml:space="preserve">Email</w:t>
            </w:r>
          </w:p>
        </w:tc>
        <w:tc>
          <w:tcPr>
            <w:tcW w:type="dxa" w:w="7020"/>
            <w:tcBorders>
              <w:top w:val="single" w:color="CFE0DE" w:sz="4"/>
              <w:left w:val="single" w:color="CFE0DE" w:sz="4"/>
              <w:bottom w:val="single" w:color="CFE0DE" w:sz="4"/>
              <w:right w:val="single" w:color="CFE0DE"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val="false"/>
                <w:iCs w:val="false"/>
                <w:color w:val="2C3E50"/>
                <w:sz w:val="22"/>
                <w:szCs w:val="22"/>
              </w:rPr>
              <w:t xml:space="preserve">infusion@kirklandspecialty.com</w:t>
            </w:r>
          </w:p>
        </w:tc>
      </w:tr>
      <w:tr>
        <w:tc>
          <w:tcPr>
            <w:tcW w:type="dxa" w:w="2340"/>
            <w:tcBorders>
              <w:top w:val="single" w:color="CFE0DE" w:sz="4"/>
              <w:left w:val="single" w:color="CFE0DE" w:sz="4"/>
              <w:bottom w:val="single" w:color="CFE0DE" w:sz="4"/>
              <w:right w:val="single" w:color="CFE0DE" w:sz="4"/>
            </w:tcBorders>
            <w:shd w:fill="F2F7F7" w:val="clear"/>
            <w:tcMar>
              <w:top w:type="dxa" w:w="140"/>
              <w:left w:type="dxa" w:w="200"/>
              <w:bottom w:type="dxa" w:w="140"/>
              <w:right w:type="dxa" w:w="200"/>
            </w:tcMar>
          </w:tcPr>
          <w:p>
            <w:pPr>
              <w:spacing w:after="80" w:before="80" w:line="320"/>
              <w:jc w:val="left"/>
            </w:pPr>
            <w:r>
              <w:rPr>
                <w:rFonts w:ascii="Calibri" w:cs="Calibri" w:eastAsia="Calibri" w:hAnsi="Calibri"/>
                <w:b/>
                <w:bCs/>
                <w:i w:val="false"/>
                <w:iCs w:val="false"/>
                <w:color w:val="0F3D47"/>
                <w:sz w:val="22"/>
                <w:szCs w:val="22"/>
              </w:rPr>
              <w:t xml:space="preserve">Online Referral</w:t>
            </w:r>
          </w:p>
        </w:tc>
        <w:tc>
          <w:tcPr>
            <w:tcW w:type="dxa" w:w="7020"/>
            <w:tcBorders>
              <w:top w:val="single" w:color="CFE0DE" w:sz="4"/>
              <w:left w:val="single" w:color="CFE0DE" w:sz="4"/>
              <w:bottom w:val="single" w:color="CFE0DE" w:sz="4"/>
              <w:right w:val="single" w:color="CFE0DE" w:sz="4"/>
            </w:tcBorders>
            <w:shd w:fill="FFFFFF" w:val="clear"/>
            <w:tcMar>
              <w:top w:type="dxa" w:w="140"/>
              <w:left w:type="dxa" w:w="200"/>
              <w:bottom w:type="dxa" w:w="140"/>
              <w:right w:type="dxa" w:w="200"/>
            </w:tcMar>
          </w:tcPr>
          <w:p>
            <w:pPr>
              <w:spacing w:after="80" w:before="80" w:line="320"/>
              <w:jc w:val="left"/>
            </w:pPr>
            <w:r>
              <w:rPr>
                <w:rFonts w:ascii="Calibri" w:cs="Calibri" w:eastAsia="Calibri" w:hAnsi="Calibri"/>
                <w:b w:val="false"/>
                <w:bCs w:val="false"/>
                <w:i w:val="false"/>
                <w:iCs w:val="false"/>
                <w:color w:val="2C3E50"/>
                <w:sz w:val="22"/>
                <w:szCs w:val="22"/>
              </w:rPr>
              <w:t xml:space="preserve">[Embedded HIPAA-compliant referral form on this page]</w:t>
            </w:r>
          </w:p>
        </w:tc>
      </w:tr>
    </w:tbl>
    <w:p>
      <w:pPr>
        <w:spacing w:after="160" w:before="160"/>
      </w:pPr>
      <w:r>
        <w:rPr>
          <w:rFonts w:ascii="Calibri" w:cs="Calibri" w:eastAsia="Calibri" w:hAnsi="Calibri"/>
          <w:b w:val="false"/>
          <w:bCs w:val="false"/>
          <w:i w:val="false"/>
          <w:iCs w:val="false"/>
          <w:color w:val="2C3E50"/>
          <w:sz w:val="22"/>
          <w:szCs w:val="22"/>
        </w:rPr>
        <w:t xml:space="preserve"/>
      </w:r>
    </w:p>
    <w:p>
      <w:pPr>
        <w:spacing w:after="80" w:before="320"/>
      </w:pPr>
      <w:r>
        <w:rPr>
          <w:rFonts w:ascii="Calibri" w:cs="Calibri" w:eastAsia="Calibri" w:hAnsi="Calibri"/>
          <w:b/>
          <w:bCs/>
          <w:i w:val="false"/>
          <w:iCs w:val="false"/>
          <w:color w:val="1A6F73"/>
          <w:sz w:val="18"/>
          <w:szCs w:val="18"/>
        </w:rPr>
        <w:t xml:space="preserve">WHAT TO INCLUDE WITH YOUR REFERRAL</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Patient demographics and insurance information</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Medication name, dose, frequency, and indication</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Recent relevant labs and imaging</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TB and hepatitis screening results for biologic-naïve patients</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Any premedication orders</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Brief clinical summary or copy of recent progress note</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Preferred contact information for clinical communication</w:t>
      </w:r>
    </w:p>
    <w:p>
      <w:pPr>
        <w:spacing w:after="80" w:before="80" w:line="320"/>
        <w:jc w:val="left"/>
      </w:pPr>
      <w:r>
        <w:rPr>
          <w:rFonts w:ascii="Calibri" w:cs="Calibri" w:eastAsia="Calibri" w:hAnsi="Calibri"/>
          <w:b w:val="false"/>
          <w:bCs w:val="false"/>
          <w:i w:val="false"/>
          <w:iCs w:val="false"/>
          <w:color w:val="2C3E50"/>
          <w:sz w:val="22"/>
          <w:szCs w:val="22"/>
        </w:rPr>
        <w:t xml:space="preserve">Missing items? Send what you have. Our team will follow up with you for anything we need.</w:t>
      </w:r>
    </w:p>
    <w:p>
      <w:pPr>
        <w:spacing w:after="80" w:before="320"/>
      </w:pPr>
      <w:r>
        <w:rPr>
          <w:rFonts w:ascii="Calibri" w:cs="Calibri" w:eastAsia="Calibri" w:hAnsi="Calibri"/>
          <w:b/>
          <w:bCs/>
          <w:i w:val="false"/>
          <w:iCs w:val="false"/>
          <w:color w:val="1A6F73"/>
          <w:sz w:val="18"/>
          <w:szCs w:val="18"/>
        </w:rPr>
        <w:t xml:space="preserve">EMBEDDED REFERRAL FORM (DESCRIPTION FOR DEVELOPERS)</w:t>
      </w:r>
    </w:p>
    <w:p>
      <w:pPr>
        <w:spacing w:after="80" w:before="80" w:line="320"/>
        <w:jc w:val="left"/>
      </w:pPr>
      <w:r>
        <w:rPr>
          <w:rFonts w:ascii="Calibri" w:cs="Calibri" w:eastAsia="Calibri" w:hAnsi="Calibri"/>
          <w:b w:val="false"/>
          <w:bCs w:val="false"/>
          <w:i w:val="false"/>
          <w:iCs w:val="false"/>
          <w:color w:val="2C3E50"/>
          <w:sz w:val="22"/>
          <w:szCs w:val="22"/>
        </w:rPr>
        <w:t xml:space="preserve">Place a HIPAA-compliant referral form on this page with the following fields: referring physician name, practice name, NPI, fax, phone, email, patient name, DOB, insurance carrier, member ID, medication, dose, indication, premedications, allergies, last relevant labs, file upload (for progress note or insurance card), and a clinical notes field. Form submissions should route to a dedicated intake inbox with same-business-day acknowledgment.</w:t>
      </w:r>
    </w:p>
    <w:p>
      <w:r>
        <w:br w:type="page"/>
      </w:r>
    </w:p>
    <w:p>
      <w:pPr>
        <w:spacing w:after="120" w:before="360"/>
      </w:pPr>
      <w:r>
        <w:rPr>
          <w:rFonts w:ascii="Calibri" w:cs="Calibri" w:eastAsia="Calibri" w:hAnsi="Calibri"/>
          <w:b/>
          <w:bCs/>
          <w:i w:val="false"/>
          <w:iCs w:val="false"/>
          <w:color w:val="0F3D47"/>
          <w:sz w:val="36"/>
          <w:szCs w:val="36"/>
        </w:rPr>
        <w:t xml:space="preserve">Page 7 — Insurance &amp; Financial Assistance</w:t>
      </w:r>
    </w:p>
    <w:p>
      <w:pPr>
        <w:spacing w:after="240" w:before="0"/>
      </w:pPr>
      <w:r>
        <w:rPr>
          <w:rFonts w:ascii="Calibri" w:cs="Calibri" w:eastAsia="Calibri" w:hAnsi="Calibri"/>
          <w:b w:val="false"/>
          <w:bCs w:val="false"/>
          <w:i/>
          <w:iCs/>
          <w:color w:val="1A6F73"/>
          <w:sz w:val="24"/>
          <w:szCs w:val="24"/>
        </w:rPr>
        <w:t xml:space="preserve">Cost should not stand between you and treatment</w:t>
      </w:r>
    </w:p>
    <w:p>
      <w:pPr>
        <w:spacing w:after="160" w:before="80" w:line="340"/>
        <w:jc w:val="left"/>
      </w:pPr>
      <w:r>
        <w:rPr>
          <w:rFonts w:ascii="Calibri" w:cs="Calibri" w:eastAsia="Calibri" w:hAnsi="Calibri"/>
          <w:b w:val="false"/>
          <w:bCs w:val="false"/>
          <w:i w:val="false"/>
          <w:iCs w:val="false"/>
          <w:color w:val="2C3E50"/>
          <w:sz w:val="24"/>
          <w:szCs w:val="24"/>
        </w:rPr>
        <w:t xml:space="preserve">Our financial advocacy program exists because we have watched too many patients delay treatment, ration medication, or decline care altogether because they were afraid of the bill. We will not let that happen on our watch if there is any way to prevent it.</w:t>
      </w:r>
    </w:p>
    <w:p>
      <w:pPr>
        <w:spacing w:after="80" w:before="320"/>
      </w:pPr>
      <w:r>
        <w:rPr>
          <w:rFonts w:ascii="Calibri" w:cs="Calibri" w:eastAsia="Calibri" w:hAnsi="Calibri"/>
          <w:b/>
          <w:bCs/>
          <w:i w:val="false"/>
          <w:iCs w:val="false"/>
          <w:color w:val="1A6F73"/>
          <w:sz w:val="18"/>
          <w:szCs w:val="18"/>
        </w:rPr>
        <w:t xml:space="preserve">WHAT WE DO FOR EVERY PATIENT</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Verify your insurance coverage before your first infusion</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Estimate your out-of-pocket cost in writing, before treatment begins</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Apply for prior authorization on every covered medication</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Identify and apply for manufacturer copay assistance programs</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Identify and apply for patient assistance programs (PAPs) when copay assistance is not available</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Identify and apply for foundation grants from organizations such as the HealthWell Foundation, Patient Advocate Foundation, and Good Days, when appropriate</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Re-verify your benefits each calendar year and at any plan change</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Renew prior authorizations before they expire</w:t>
      </w:r>
    </w:p>
    <w:p>
      <w:pPr>
        <w:spacing w:after="80" w:before="320"/>
      </w:pPr>
      <w:r>
        <w:rPr>
          <w:rFonts w:ascii="Calibri" w:cs="Calibri" w:eastAsia="Calibri" w:hAnsi="Calibri"/>
          <w:b/>
          <w:bCs/>
          <w:i w:val="false"/>
          <w:iCs w:val="false"/>
          <w:color w:val="1A6F73"/>
          <w:sz w:val="18"/>
          <w:szCs w:val="18"/>
        </w:rPr>
        <w:t xml:space="preserve">INSURANCE PLANS ACCEPTED</w:t>
      </w:r>
    </w:p>
    <w:p>
      <w:pPr>
        <w:spacing w:after="80" w:before="80" w:line="320"/>
        <w:jc w:val="left"/>
      </w:pPr>
      <w:r>
        <w:rPr>
          <w:rFonts w:ascii="Calibri" w:cs="Calibri" w:eastAsia="Calibri" w:hAnsi="Calibri"/>
          <w:b w:val="false"/>
          <w:bCs w:val="false"/>
          <w:i w:val="false"/>
          <w:iCs w:val="false"/>
          <w:color w:val="2C3E50"/>
          <w:sz w:val="22"/>
          <w:szCs w:val="22"/>
        </w:rPr>
        <w:t xml:space="preserve">We accept most major commercial insurance plans, Medicare, and many Medicare Advantage plans. To verify coverage for your specific plan and medication, please call us at (425) 453-0766 ext. 105 with your insurance card in hand. We will give you a clear answer.</w:t>
      </w:r>
    </w:p>
    <w:p>
      <w:pPr>
        <w:spacing w:after="80" w:before="80" w:line="320"/>
        <w:jc w:val="left"/>
      </w:pPr>
      <w:r>
        <w:rPr>
          <w:rFonts w:ascii="Calibri" w:cs="Calibri" w:eastAsia="Calibri" w:hAnsi="Calibri"/>
          <w:b w:val="false"/>
          <w:bCs w:val="false"/>
          <w:i w:val="false"/>
          <w:iCs w:val="false"/>
          <w:color w:val="2C3E50"/>
          <w:sz w:val="22"/>
          <w:szCs w:val="22"/>
        </w:rPr>
        <w:t xml:space="preserve">[Placeholder: list of accepted insurance carriers — Premera, Regence BlueShield, Aetna, Cigna, UnitedHealthcare, Kaiser Permanente PPO, Tricare, Medicare, Medicare Advantage plans, etc. To be confirmed with billing.]</w:t>
      </w:r>
    </w:p>
    <w:p>
      <w:pPr>
        <w:spacing w:after="80" w:before="320"/>
      </w:pPr>
      <w:r>
        <w:rPr>
          <w:rFonts w:ascii="Calibri" w:cs="Calibri" w:eastAsia="Calibri" w:hAnsi="Calibri"/>
          <w:b/>
          <w:bCs/>
          <w:i w:val="false"/>
          <w:iCs w:val="false"/>
          <w:color w:val="1A6F73"/>
          <w:sz w:val="18"/>
          <w:szCs w:val="18"/>
        </w:rPr>
        <w:t xml:space="preserve">SELF-PAY PATIENTS</w:t>
      </w:r>
    </w:p>
    <w:p>
      <w:pPr>
        <w:spacing w:after="80" w:before="80" w:line="320"/>
        <w:jc w:val="left"/>
      </w:pPr>
      <w:r>
        <w:rPr>
          <w:rFonts w:ascii="Calibri" w:cs="Calibri" w:eastAsia="Calibri" w:hAnsi="Calibri"/>
          <w:b w:val="false"/>
          <w:bCs w:val="false"/>
          <w:i w:val="false"/>
          <w:iCs w:val="false"/>
          <w:color w:val="2C3E50"/>
          <w:sz w:val="22"/>
          <w:szCs w:val="22"/>
        </w:rPr>
        <w:t xml:space="preserve">We welcome self-pay patients for our cash-pay wellness services (B12, vitamin D, Myers Cocktail IV, iron infusions, joint injections, and PRP). For specialty infusion medications, the medication cost is generally too high to self-pay, but we will explore every available assistance program before any patient is turned away for financial reasons.</w:t>
      </w:r>
    </w:p>
    <w:p>
      <w:pPr>
        <w:spacing w:after="80" w:before="320"/>
      </w:pPr>
      <w:r>
        <w:rPr>
          <w:rFonts w:ascii="Calibri" w:cs="Calibri" w:eastAsia="Calibri" w:hAnsi="Calibri"/>
          <w:b/>
          <w:bCs/>
          <w:i w:val="false"/>
          <w:iCs w:val="false"/>
          <w:color w:val="1A6F73"/>
          <w:sz w:val="18"/>
          <w:szCs w:val="18"/>
        </w:rPr>
        <w:t xml:space="preserve">QUESTIONS ABOUT A BILL</w:t>
      </w:r>
    </w:p>
    <w:p>
      <w:pPr>
        <w:spacing w:after="80" w:before="80" w:line="320"/>
        <w:jc w:val="left"/>
      </w:pPr>
      <w:r>
        <w:rPr>
          <w:rFonts w:ascii="Calibri" w:cs="Calibri" w:eastAsia="Calibri" w:hAnsi="Calibri"/>
          <w:b w:val="false"/>
          <w:bCs w:val="false"/>
          <w:i w:val="false"/>
          <w:iCs w:val="false"/>
          <w:color w:val="2C3E50"/>
          <w:sz w:val="22"/>
          <w:szCs w:val="22"/>
        </w:rPr>
        <w:t xml:space="preserve">If you receive a bill that does not look right, or that exceeds what we told you to expect, please call us immediately at (425) 453-0766 ext. 105. We will review the charges with you and contact the insurance company on your behalf if needed.</w:t>
      </w:r>
    </w:p>
    <w:p>
      <w:r>
        <w:br w:type="page"/>
      </w:r>
    </w:p>
    <w:p>
      <w:pPr>
        <w:spacing w:after="120" w:before="360"/>
      </w:pPr>
      <w:r>
        <w:rPr>
          <w:rFonts w:ascii="Calibri" w:cs="Calibri" w:eastAsia="Calibri" w:hAnsi="Calibri"/>
          <w:b/>
          <w:bCs/>
          <w:i w:val="false"/>
          <w:iCs w:val="false"/>
          <w:color w:val="0F3D47"/>
          <w:sz w:val="36"/>
          <w:szCs w:val="36"/>
        </w:rPr>
        <w:t xml:space="preserve">Page 8 — Frequently Asked Questions</w:t>
      </w:r>
    </w:p>
    <w:p>
      <w:pPr>
        <w:spacing w:after="240" w:before="0"/>
      </w:pPr>
      <w:r>
        <w:rPr>
          <w:rFonts w:ascii="Calibri" w:cs="Calibri" w:eastAsia="Calibri" w:hAnsi="Calibri"/>
          <w:b w:val="false"/>
          <w:bCs w:val="false"/>
          <w:i/>
          <w:iCs/>
          <w:color w:val="1A6F73"/>
          <w:sz w:val="24"/>
          <w:szCs w:val="24"/>
        </w:rPr>
        <w:t xml:space="preserve">Honest answers to the questions patients actually ask</w:t>
      </w:r>
    </w:p>
    <w:p>
      <w:pPr>
        <w:spacing w:after="80" w:before="180"/>
      </w:pPr>
      <w:r>
        <w:rPr>
          <w:rFonts w:ascii="Calibri" w:cs="Calibri" w:eastAsia="Calibri" w:hAnsi="Calibri"/>
          <w:b/>
          <w:bCs/>
          <w:i w:val="false"/>
          <w:iCs w:val="false"/>
          <w:color w:val="0F3D47"/>
          <w:sz w:val="22"/>
          <w:szCs w:val="22"/>
        </w:rPr>
        <w:t xml:space="preserve">What is an infusion?</w:t>
      </w:r>
    </w:p>
    <w:p>
      <w:pPr>
        <w:spacing w:after="80" w:before="80" w:line="320"/>
        <w:jc w:val="left"/>
      </w:pPr>
      <w:r>
        <w:rPr>
          <w:rFonts w:ascii="Calibri" w:cs="Calibri" w:eastAsia="Calibri" w:hAnsi="Calibri"/>
          <w:b w:val="false"/>
          <w:bCs w:val="false"/>
          <w:i w:val="false"/>
          <w:iCs w:val="false"/>
          <w:color w:val="2C3E50"/>
          <w:sz w:val="22"/>
          <w:szCs w:val="22"/>
        </w:rPr>
        <w:t xml:space="preserve">An infusion is the administration of a medication directly into your bloodstream through a small intravenous line (IV) placed in your arm. Many specialty medications — particularly biologic therapies for autoimmune and inflammatory disease, certain cancer therapies, immune globulin, bone-building agents, and others — work best or only when given by infusion.</w:t>
      </w:r>
    </w:p>
    <w:p>
      <w:pPr>
        <w:spacing w:after="80" w:before="180"/>
      </w:pPr>
      <w:r>
        <w:rPr>
          <w:rFonts w:ascii="Calibri" w:cs="Calibri" w:eastAsia="Calibri" w:hAnsi="Calibri"/>
          <w:b/>
          <w:bCs/>
          <w:i w:val="false"/>
          <w:iCs w:val="false"/>
          <w:color w:val="0F3D47"/>
          <w:sz w:val="22"/>
          <w:szCs w:val="22"/>
        </w:rPr>
        <w:t xml:space="preserve">Is the infusion supervised by a doctor?</w:t>
      </w:r>
    </w:p>
    <w:p>
      <w:pPr>
        <w:spacing w:after="80" w:before="80" w:line="320"/>
        <w:jc w:val="left"/>
      </w:pPr>
      <w:r>
        <w:rPr>
          <w:rFonts w:ascii="Calibri" w:cs="Calibri" w:eastAsia="Calibri" w:hAnsi="Calibri"/>
          <w:b w:val="false"/>
          <w:bCs w:val="false"/>
          <w:i w:val="false"/>
          <w:iCs w:val="false"/>
          <w:color w:val="2C3E50"/>
          <w:sz w:val="22"/>
          <w:szCs w:val="22"/>
        </w:rPr>
        <w:t xml:space="preserve">Yes. Every infusion administered at our center is supervised in real time by a physician or licensed provider who is physically present in the building. This is not the standard at most outpatient infusion centers, and it is one of the reasons referring physicians send their patients to us.</w:t>
      </w:r>
    </w:p>
    <w:p>
      <w:pPr>
        <w:spacing w:after="80" w:before="180"/>
      </w:pPr>
      <w:r>
        <w:rPr>
          <w:rFonts w:ascii="Calibri" w:cs="Calibri" w:eastAsia="Calibri" w:hAnsi="Calibri"/>
          <w:b/>
          <w:bCs/>
          <w:i w:val="false"/>
          <w:iCs w:val="false"/>
          <w:color w:val="0F3D47"/>
          <w:sz w:val="22"/>
          <w:szCs w:val="22"/>
        </w:rPr>
        <w:t xml:space="preserve">How long will my infusion take?</w:t>
      </w:r>
    </w:p>
    <w:p>
      <w:pPr>
        <w:spacing w:after="80" w:before="80" w:line="320"/>
        <w:jc w:val="left"/>
      </w:pPr>
      <w:r>
        <w:rPr>
          <w:rFonts w:ascii="Calibri" w:cs="Calibri" w:eastAsia="Calibri" w:hAnsi="Calibri"/>
          <w:b w:val="false"/>
          <w:bCs w:val="false"/>
          <w:i w:val="false"/>
          <w:iCs w:val="false"/>
          <w:color w:val="2C3E50"/>
          <w:sz w:val="22"/>
          <w:szCs w:val="22"/>
        </w:rPr>
        <w:t xml:space="preserve">It depends on the medication. Some infusions take thirty to sixty minutes. Others take three to four hours. We will tell you exactly how long to plan for when we schedule your appointment, and we will not surprise you.</w:t>
      </w:r>
    </w:p>
    <w:p>
      <w:pPr>
        <w:spacing w:after="80" w:before="180"/>
      </w:pPr>
      <w:r>
        <w:rPr>
          <w:rFonts w:ascii="Calibri" w:cs="Calibri" w:eastAsia="Calibri" w:hAnsi="Calibri"/>
          <w:b/>
          <w:bCs/>
          <w:i w:val="false"/>
          <w:iCs w:val="false"/>
          <w:color w:val="0F3D47"/>
          <w:sz w:val="22"/>
          <w:szCs w:val="22"/>
        </w:rPr>
        <w:t xml:space="preserve">Will it hurt?</w:t>
      </w:r>
    </w:p>
    <w:p>
      <w:pPr>
        <w:spacing w:after="80" w:before="80" w:line="320"/>
        <w:jc w:val="left"/>
      </w:pPr>
      <w:r>
        <w:rPr>
          <w:rFonts w:ascii="Calibri" w:cs="Calibri" w:eastAsia="Calibri" w:hAnsi="Calibri"/>
          <w:b w:val="false"/>
          <w:bCs w:val="false"/>
          <w:i w:val="false"/>
          <w:iCs w:val="false"/>
          <w:color w:val="2C3E50"/>
          <w:sz w:val="22"/>
          <w:szCs w:val="22"/>
        </w:rPr>
        <w:t xml:space="preserve">You will feel a small pinch when the IV is started, similar to a routine blood draw. After the IV is in, the infusion itself is not painful. Most patients read, work on a laptop, watch a show, or sleep through their infusion.</w:t>
      </w:r>
    </w:p>
    <w:p>
      <w:pPr>
        <w:spacing w:after="80" w:before="180"/>
      </w:pPr>
      <w:r>
        <w:rPr>
          <w:rFonts w:ascii="Calibri" w:cs="Calibri" w:eastAsia="Calibri" w:hAnsi="Calibri"/>
          <w:b/>
          <w:bCs/>
          <w:i w:val="false"/>
          <w:iCs w:val="false"/>
          <w:color w:val="0F3D47"/>
          <w:sz w:val="22"/>
          <w:szCs w:val="22"/>
        </w:rPr>
        <w:t xml:space="preserve">Is there parking?</w:t>
      </w:r>
    </w:p>
    <w:p>
      <w:pPr>
        <w:spacing w:after="80" w:before="80" w:line="320"/>
        <w:jc w:val="left"/>
      </w:pPr>
      <w:r>
        <w:rPr>
          <w:rFonts w:ascii="Calibri" w:cs="Calibri" w:eastAsia="Calibri" w:hAnsi="Calibri"/>
          <w:b w:val="false"/>
          <w:bCs w:val="false"/>
          <w:i w:val="false"/>
          <w:iCs w:val="false"/>
          <w:color w:val="2C3E50"/>
          <w:sz w:val="22"/>
          <w:szCs w:val="22"/>
        </w:rPr>
        <w:t xml:space="preserve">Yes. Free parking is available on-site at 12911 120th Avenue N.E., Suite C-80.</w:t>
      </w:r>
    </w:p>
    <w:p>
      <w:pPr>
        <w:spacing w:after="80" w:before="180"/>
      </w:pPr>
      <w:r>
        <w:rPr>
          <w:rFonts w:ascii="Calibri" w:cs="Calibri" w:eastAsia="Calibri" w:hAnsi="Calibri"/>
          <w:b/>
          <w:bCs/>
          <w:i w:val="false"/>
          <w:iCs w:val="false"/>
          <w:color w:val="0F3D47"/>
          <w:sz w:val="22"/>
          <w:szCs w:val="22"/>
        </w:rPr>
        <w:t xml:space="preserve">Can I drive myself home?</w:t>
      </w:r>
    </w:p>
    <w:p>
      <w:pPr>
        <w:spacing w:after="80" w:before="80" w:line="320"/>
        <w:jc w:val="left"/>
      </w:pPr>
      <w:r>
        <w:rPr>
          <w:rFonts w:ascii="Calibri" w:cs="Calibri" w:eastAsia="Calibri" w:hAnsi="Calibri"/>
          <w:b w:val="false"/>
          <w:bCs w:val="false"/>
          <w:i w:val="false"/>
          <w:iCs w:val="false"/>
          <w:color w:val="2C3E50"/>
          <w:sz w:val="22"/>
          <w:szCs w:val="22"/>
        </w:rPr>
        <w:t xml:space="preserve">For most medications, yes. A small number of infusions require pre-medication that can make you drowsy. We will tell you in advance if you should arrange a ride.</w:t>
      </w:r>
    </w:p>
    <w:p>
      <w:pPr>
        <w:spacing w:after="80" w:before="180"/>
      </w:pPr>
      <w:r>
        <w:rPr>
          <w:rFonts w:ascii="Calibri" w:cs="Calibri" w:eastAsia="Calibri" w:hAnsi="Calibri"/>
          <w:b/>
          <w:bCs/>
          <w:i w:val="false"/>
          <w:iCs w:val="false"/>
          <w:color w:val="0F3D47"/>
          <w:sz w:val="22"/>
          <w:szCs w:val="22"/>
        </w:rPr>
        <w:t xml:space="preserve">What if I have a reaction to the medication?</w:t>
      </w:r>
    </w:p>
    <w:p>
      <w:pPr>
        <w:spacing w:after="80" w:before="80" w:line="320"/>
        <w:jc w:val="left"/>
      </w:pPr>
      <w:r>
        <w:rPr>
          <w:rFonts w:ascii="Calibri" w:cs="Calibri" w:eastAsia="Calibri" w:hAnsi="Calibri"/>
          <w:b w:val="false"/>
          <w:bCs w:val="false"/>
          <w:i w:val="false"/>
          <w:iCs w:val="false"/>
          <w:color w:val="2C3E50"/>
          <w:sz w:val="22"/>
          <w:szCs w:val="22"/>
        </w:rPr>
        <w:t xml:space="preserve">Infusion reactions are uncommon and almost always mild. Our staff is trained to recognize and manage reactions immediately, and a physician is always present in the suite. We have the medications, equipment, and clinical expertise to respond to any reaction safely.</w:t>
      </w:r>
    </w:p>
    <w:p>
      <w:pPr>
        <w:spacing w:after="80" w:before="180"/>
      </w:pPr>
      <w:r>
        <w:rPr>
          <w:rFonts w:ascii="Calibri" w:cs="Calibri" w:eastAsia="Calibri" w:hAnsi="Calibri"/>
          <w:b/>
          <w:bCs/>
          <w:i w:val="false"/>
          <w:iCs w:val="false"/>
          <w:color w:val="0F3D47"/>
          <w:sz w:val="22"/>
          <w:szCs w:val="22"/>
        </w:rPr>
        <w:t xml:space="preserve">Can I eat before my infusion?</w:t>
      </w:r>
    </w:p>
    <w:p>
      <w:pPr>
        <w:spacing w:after="80" w:before="80" w:line="320"/>
        <w:jc w:val="left"/>
      </w:pPr>
      <w:r>
        <w:rPr>
          <w:rFonts w:ascii="Calibri" w:cs="Calibri" w:eastAsia="Calibri" w:hAnsi="Calibri"/>
          <w:b w:val="false"/>
          <w:bCs w:val="false"/>
          <w:i w:val="false"/>
          <w:iCs w:val="false"/>
          <w:color w:val="2C3E50"/>
          <w:sz w:val="22"/>
          <w:szCs w:val="22"/>
        </w:rPr>
        <w:t xml:space="preserve">Yes. Eat a normal meal before you arrive unless your physician has specifically told you otherwise.</w:t>
      </w:r>
    </w:p>
    <w:p>
      <w:pPr>
        <w:spacing w:after="80" w:before="180"/>
      </w:pPr>
      <w:r>
        <w:rPr>
          <w:rFonts w:ascii="Calibri" w:cs="Calibri" w:eastAsia="Calibri" w:hAnsi="Calibri"/>
          <w:b/>
          <w:bCs/>
          <w:i w:val="false"/>
          <w:iCs w:val="false"/>
          <w:color w:val="0F3D47"/>
          <w:sz w:val="22"/>
          <w:szCs w:val="22"/>
        </w:rPr>
        <w:t xml:space="preserve">Should I take my regular medications on infusion day?</w:t>
      </w:r>
    </w:p>
    <w:p>
      <w:pPr>
        <w:spacing w:after="80" w:before="80" w:line="320"/>
        <w:jc w:val="left"/>
      </w:pPr>
      <w:r>
        <w:rPr>
          <w:rFonts w:ascii="Calibri" w:cs="Calibri" w:eastAsia="Calibri" w:hAnsi="Calibri"/>
          <w:b w:val="false"/>
          <w:bCs w:val="false"/>
          <w:i w:val="false"/>
          <w:iCs w:val="false"/>
          <w:color w:val="2C3E50"/>
          <w:sz w:val="22"/>
          <w:szCs w:val="22"/>
        </w:rPr>
        <w:t xml:space="preserve">Yes, continue your regular medications unless your physician or our team has specifically told you to hold one.</w:t>
      </w:r>
    </w:p>
    <w:p>
      <w:pPr>
        <w:spacing w:after="80" w:before="180"/>
      </w:pPr>
      <w:r>
        <w:rPr>
          <w:rFonts w:ascii="Calibri" w:cs="Calibri" w:eastAsia="Calibri" w:hAnsi="Calibri"/>
          <w:b/>
          <w:bCs/>
          <w:i w:val="false"/>
          <w:iCs w:val="false"/>
          <w:color w:val="0F3D47"/>
          <w:sz w:val="22"/>
          <w:szCs w:val="22"/>
        </w:rPr>
        <w:t xml:space="preserve">What if I am sick on the day of my infusion?</w:t>
      </w:r>
    </w:p>
    <w:p>
      <w:pPr>
        <w:spacing w:after="80" w:before="80" w:line="320"/>
        <w:jc w:val="left"/>
      </w:pPr>
      <w:r>
        <w:rPr>
          <w:rFonts w:ascii="Calibri" w:cs="Calibri" w:eastAsia="Calibri" w:hAnsi="Calibri"/>
          <w:b w:val="false"/>
          <w:bCs w:val="false"/>
          <w:i w:val="false"/>
          <w:iCs w:val="false"/>
          <w:color w:val="2C3E50"/>
          <w:sz w:val="22"/>
          <w:szCs w:val="22"/>
        </w:rPr>
        <w:t xml:space="preserve">Call us. Most infusions should be postponed if you have a fever or active infection. We would rather reschedule you for next week than treat you while you are unwell.</w:t>
      </w:r>
    </w:p>
    <w:p>
      <w:pPr>
        <w:spacing w:after="80" w:before="180"/>
      </w:pPr>
      <w:r>
        <w:rPr>
          <w:rFonts w:ascii="Calibri" w:cs="Calibri" w:eastAsia="Calibri" w:hAnsi="Calibri"/>
          <w:b/>
          <w:bCs/>
          <w:i w:val="false"/>
          <w:iCs w:val="false"/>
          <w:color w:val="0F3D47"/>
          <w:sz w:val="22"/>
          <w:szCs w:val="22"/>
        </w:rPr>
        <w:t xml:space="preserve">Will my insurance cover this?</w:t>
      </w:r>
    </w:p>
    <w:p>
      <w:pPr>
        <w:spacing w:after="80" w:before="80" w:line="320"/>
        <w:jc w:val="left"/>
      </w:pPr>
      <w:r>
        <w:rPr>
          <w:rFonts w:ascii="Calibri" w:cs="Calibri" w:eastAsia="Calibri" w:hAnsi="Calibri"/>
          <w:b w:val="false"/>
          <w:bCs w:val="false"/>
          <w:i w:val="false"/>
          <w:iCs w:val="false"/>
          <w:color w:val="2C3E50"/>
          <w:sz w:val="22"/>
          <w:szCs w:val="22"/>
        </w:rPr>
        <w:t xml:space="preserve">Most major commercial insurance plans and Medicare cover specialty infusion therapies when they are medically necessary and prior-authorized. Our financial team will verify your coverage and out-of-pocket cost before your first infusion, in writing.</w:t>
      </w:r>
    </w:p>
    <w:p>
      <w:pPr>
        <w:spacing w:after="80" w:before="180"/>
      </w:pPr>
      <w:r>
        <w:rPr>
          <w:rFonts w:ascii="Calibri" w:cs="Calibri" w:eastAsia="Calibri" w:hAnsi="Calibri"/>
          <w:b/>
          <w:bCs/>
          <w:i w:val="false"/>
          <w:iCs w:val="false"/>
          <w:color w:val="0F3D47"/>
          <w:sz w:val="22"/>
          <w:szCs w:val="22"/>
        </w:rPr>
        <w:t xml:space="preserve">What if I cannot afford the copay?</w:t>
      </w:r>
    </w:p>
    <w:p>
      <w:pPr>
        <w:spacing w:after="80" w:before="80" w:line="320"/>
        <w:jc w:val="left"/>
      </w:pPr>
      <w:r>
        <w:rPr>
          <w:rFonts w:ascii="Calibri" w:cs="Calibri" w:eastAsia="Calibri" w:hAnsi="Calibri"/>
          <w:b w:val="false"/>
          <w:bCs w:val="false"/>
          <w:i w:val="false"/>
          <w:iCs w:val="false"/>
          <w:color w:val="2C3E50"/>
          <w:sz w:val="22"/>
          <w:szCs w:val="22"/>
        </w:rPr>
        <w:t xml:space="preserve">We will help. Our financial advocacy team applies for manufacturer copay assistance, patient assistance programs, and foundation grants for any patient who needs help. Many of our patients pay little or nothing out of pocket.</w:t>
      </w:r>
    </w:p>
    <w:p>
      <w:pPr>
        <w:spacing w:after="80" w:before="180"/>
      </w:pPr>
      <w:r>
        <w:rPr>
          <w:rFonts w:ascii="Calibri" w:cs="Calibri" w:eastAsia="Calibri" w:hAnsi="Calibri"/>
          <w:b/>
          <w:bCs/>
          <w:i w:val="false"/>
          <w:iCs w:val="false"/>
          <w:color w:val="0F3D47"/>
          <w:sz w:val="22"/>
          <w:szCs w:val="22"/>
        </w:rPr>
        <w:t xml:space="preserve">Do I need a referral?</w:t>
      </w:r>
    </w:p>
    <w:p>
      <w:pPr>
        <w:spacing w:after="80" w:before="80" w:line="320"/>
        <w:jc w:val="left"/>
      </w:pPr>
      <w:r>
        <w:rPr>
          <w:rFonts w:ascii="Calibri" w:cs="Calibri" w:eastAsia="Calibri" w:hAnsi="Calibri"/>
          <w:b w:val="false"/>
          <w:bCs w:val="false"/>
          <w:i w:val="false"/>
          <w:iCs w:val="false"/>
          <w:color w:val="2C3E50"/>
          <w:sz w:val="22"/>
          <w:szCs w:val="22"/>
        </w:rPr>
        <w:t xml:space="preserve">For specialty infusion medications, yes — you will need a referral from your treating physician. For our cash-pay wellness services (B12, vitamin D, Myers Cocktail, iron, joint injections, PRP), a referral is not required, though we recommend discussing with your physician.</w:t>
      </w:r>
    </w:p>
    <w:p>
      <w:pPr>
        <w:spacing w:after="80" w:before="180"/>
      </w:pPr>
      <w:r>
        <w:rPr>
          <w:rFonts w:ascii="Calibri" w:cs="Calibri" w:eastAsia="Calibri" w:hAnsi="Calibri"/>
          <w:b/>
          <w:bCs/>
          <w:i w:val="false"/>
          <w:iCs w:val="false"/>
          <w:color w:val="0F3D47"/>
          <w:sz w:val="22"/>
          <w:szCs w:val="22"/>
        </w:rPr>
        <w:t xml:space="preserve">Can my family or a friend come with me?</w:t>
      </w:r>
    </w:p>
    <w:p>
      <w:pPr>
        <w:spacing w:after="80" w:before="80" w:line="320"/>
        <w:jc w:val="left"/>
      </w:pPr>
      <w:r>
        <w:rPr>
          <w:rFonts w:ascii="Calibri" w:cs="Calibri" w:eastAsia="Calibri" w:hAnsi="Calibri"/>
          <w:b w:val="false"/>
          <w:bCs w:val="false"/>
          <w:i w:val="false"/>
          <w:iCs w:val="false"/>
          <w:color w:val="2C3E50"/>
          <w:sz w:val="22"/>
          <w:szCs w:val="22"/>
        </w:rPr>
        <w:t xml:space="preserve">Yes. You are welcome to bring one companion to your infusion. Many patients prefer to be alone or to have one trusted person along.</w:t>
      </w:r>
    </w:p>
    <w:p>
      <w:pPr>
        <w:spacing w:after="80" w:before="180"/>
      </w:pPr>
      <w:r>
        <w:rPr>
          <w:rFonts w:ascii="Calibri" w:cs="Calibri" w:eastAsia="Calibri" w:hAnsi="Calibri"/>
          <w:b/>
          <w:bCs/>
          <w:i w:val="false"/>
          <w:iCs w:val="false"/>
          <w:color w:val="0F3D47"/>
          <w:sz w:val="22"/>
          <w:szCs w:val="22"/>
        </w:rPr>
        <w:t xml:space="preserve">How do I get started?</w:t>
      </w:r>
    </w:p>
    <w:p>
      <w:pPr>
        <w:spacing w:after="80" w:before="80" w:line="320"/>
        <w:jc w:val="left"/>
      </w:pPr>
      <w:r>
        <w:rPr>
          <w:rFonts w:ascii="Calibri" w:cs="Calibri" w:eastAsia="Calibri" w:hAnsi="Calibri"/>
          <w:b w:val="false"/>
          <w:bCs w:val="false"/>
          <w:i w:val="false"/>
          <w:iCs w:val="false"/>
          <w:color w:val="2C3E50"/>
          <w:sz w:val="22"/>
          <w:szCs w:val="22"/>
        </w:rPr>
        <w:t xml:space="preserve">If you are a patient: ask your physician to send us a referral by fax to (425) 533-2540 or by phone at (425) 453-0766 ext. 105. If you are a physician: send the referral and we will take it from there.</w:t>
      </w:r>
    </w:p>
    <w:p>
      <w:r>
        <w:br w:type="page"/>
      </w:r>
    </w:p>
    <w:p>
      <w:pPr>
        <w:spacing w:after="120" w:before="360"/>
      </w:pPr>
      <w:r>
        <w:rPr>
          <w:rFonts w:ascii="Calibri" w:cs="Calibri" w:eastAsia="Calibri" w:hAnsi="Calibri"/>
          <w:b/>
          <w:bCs/>
          <w:i w:val="false"/>
          <w:iCs w:val="false"/>
          <w:color w:val="0F3D47"/>
          <w:sz w:val="36"/>
          <w:szCs w:val="36"/>
        </w:rPr>
        <w:t xml:space="preserve">Page 9 — Contact &amp; Directions</w:t>
      </w:r>
    </w:p>
    <w:p>
      <w:pPr>
        <w:spacing w:after="240" w:before="0"/>
      </w:pPr>
      <w:r>
        <w:rPr>
          <w:rFonts w:ascii="Calibri" w:cs="Calibri" w:eastAsia="Calibri" w:hAnsi="Calibri"/>
          <w:b w:val="false"/>
          <w:bCs w:val="false"/>
          <w:i/>
          <w:iCs/>
          <w:color w:val="1A6F73"/>
          <w:sz w:val="24"/>
          <w:szCs w:val="24"/>
        </w:rPr>
        <w:t xml:space="preserve">We look forward to welcoming your referrals</w:t>
      </w:r>
    </w:p>
    <w:p>
      <w:pPr>
        <w:spacing w:after="80" w:before="320"/>
      </w:pPr>
      <w:r>
        <w:rPr>
          <w:rFonts w:ascii="Calibri" w:cs="Calibri" w:eastAsia="Calibri" w:hAnsi="Calibri"/>
          <w:b/>
          <w:bCs/>
          <w:i w:val="false"/>
          <w:iCs w:val="false"/>
          <w:color w:val="1A6F73"/>
          <w:sz w:val="18"/>
          <w:szCs w:val="18"/>
        </w:rPr>
        <w:t xml:space="preserve">VISIT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FE0DE" w:sz="4"/>
              <w:left w:val="single" w:color="CFE0DE" w:sz="4"/>
              <w:bottom w:val="single" w:color="CFE0DE" w:sz="4"/>
              <w:right w:val="single" w:color="CFE0DE" w:sz="4"/>
            </w:tcBorders>
            <w:shd w:fill="1A6F73" w:val="clear"/>
            <w:tcMar>
              <w:top w:type="dxa" w:w="200"/>
              <w:left w:type="dxa" w:w="240"/>
              <w:bottom w:type="dxa" w:w="200"/>
              <w:right w:type="dxa" w:w="240"/>
            </w:tcMar>
          </w:tcPr>
          <w:p>
            <w:pPr>
              <w:spacing w:after="80" w:before="80" w:line="320"/>
              <w:jc w:val="left"/>
            </w:pPr>
            <w:r>
              <w:rPr>
                <w:rFonts w:ascii="Calibri" w:cs="Calibri" w:eastAsia="Calibri" w:hAnsi="Calibri"/>
                <w:b/>
                <w:bCs/>
                <w:i w:val="false"/>
                <w:iCs w:val="false"/>
                <w:color w:val="FFFFFF"/>
                <w:sz w:val="22"/>
                <w:szCs w:val="22"/>
              </w:rPr>
              <w:t xml:space="preserve">ADDRESS</w:t>
            </w:r>
          </w:p>
        </w:tc>
        <w:tc>
          <w:tcPr>
            <w:tcW w:type="dxa" w:w="7020"/>
            <w:tcBorders>
              <w:top w:val="single" w:color="CFE0DE" w:sz="4"/>
              <w:left w:val="single" w:color="CFE0DE" w:sz="4"/>
              <w:bottom w:val="single" w:color="CFE0DE" w:sz="4"/>
              <w:right w:val="single" w:color="CFE0DE" w:sz="4"/>
            </w:tcBorders>
            <w:shd w:fill="FFFFFF" w:val="clear"/>
            <w:tcMar>
              <w:top w:type="dxa" w:w="200"/>
              <w:left w:type="dxa" w:w="240"/>
              <w:bottom w:type="dxa" w:w="20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12911 120th Avenue N.E., Suite C-80</w:t>
            </w:r>
          </w:p>
          <w:p>
            <w:pPr>
              <w:spacing w:after="80" w:before="80" w:line="320"/>
              <w:jc w:val="left"/>
            </w:pPr>
            <w:r>
              <w:rPr>
                <w:rFonts w:ascii="Calibri" w:cs="Calibri" w:eastAsia="Calibri" w:hAnsi="Calibri"/>
                <w:b w:val="false"/>
                <w:bCs w:val="false"/>
                <w:i w:val="false"/>
                <w:iCs w:val="false"/>
                <w:color w:val="2C3E50"/>
                <w:sz w:val="22"/>
                <w:szCs w:val="22"/>
              </w:rPr>
              <w:t xml:space="preserve">Kirkland, WA 98034</w:t>
            </w:r>
          </w:p>
        </w:tc>
      </w:tr>
      <w:tr>
        <w:tc>
          <w:tcPr>
            <w:tcW w:type="dxa" w:w="2340"/>
            <w:tcBorders>
              <w:top w:val="single" w:color="CFE0DE" w:sz="4"/>
              <w:left w:val="single" w:color="CFE0DE" w:sz="4"/>
              <w:bottom w:val="single" w:color="CFE0DE" w:sz="4"/>
              <w:right w:val="single" w:color="CFE0DE" w:sz="4"/>
            </w:tcBorders>
            <w:shd w:fill="1A6F73" w:val="clear"/>
            <w:tcMar>
              <w:top w:type="dxa" w:w="200"/>
              <w:left w:type="dxa" w:w="240"/>
              <w:bottom w:type="dxa" w:w="200"/>
              <w:right w:type="dxa" w:w="240"/>
            </w:tcMar>
          </w:tcPr>
          <w:p>
            <w:pPr>
              <w:spacing w:after="80" w:before="80" w:line="320"/>
              <w:jc w:val="left"/>
            </w:pPr>
            <w:r>
              <w:rPr>
                <w:rFonts w:ascii="Calibri" w:cs="Calibri" w:eastAsia="Calibri" w:hAnsi="Calibri"/>
                <w:b/>
                <w:bCs/>
                <w:i w:val="false"/>
                <w:iCs w:val="false"/>
                <w:color w:val="FFFFFF"/>
                <w:sz w:val="22"/>
                <w:szCs w:val="22"/>
              </w:rPr>
              <w:t xml:space="preserve">PHONE</w:t>
            </w:r>
          </w:p>
        </w:tc>
        <w:tc>
          <w:tcPr>
            <w:tcW w:type="dxa" w:w="7020"/>
            <w:tcBorders>
              <w:top w:val="single" w:color="CFE0DE" w:sz="4"/>
              <w:left w:val="single" w:color="CFE0DE" w:sz="4"/>
              <w:bottom w:val="single" w:color="CFE0DE" w:sz="4"/>
              <w:right w:val="single" w:color="CFE0DE" w:sz="4"/>
            </w:tcBorders>
            <w:shd w:fill="FFFFFF" w:val="clear"/>
            <w:tcMar>
              <w:top w:type="dxa" w:w="200"/>
              <w:left w:type="dxa" w:w="240"/>
              <w:bottom w:type="dxa" w:w="20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(425) 453-0766 ext. 105</w:t>
            </w:r>
          </w:p>
        </w:tc>
      </w:tr>
      <w:tr>
        <w:tc>
          <w:tcPr>
            <w:tcW w:type="dxa" w:w="2340"/>
            <w:tcBorders>
              <w:top w:val="single" w:color="CFE0DE" w:sz="4"/>
              <w:left w:val="single" w:color="CFE0DE" w:sz="4"/>
              <w:bottom w:val="single" w:color="CFE0DE" w:sz="4"/>
              <w:right w:val="single" w:color="CFE0DE" w:sz="4"/>
            </w:tcBorders>
            <w:shd w:fill="1A6F73" w:val="clear"/>
            <w:tcMar>
              <w:top w:type="dxa" w:w="200"/>
              <w:left w:type="dxa" w:w="240"/>
              <w:bottom w:type="dxa" w:w="200"/>
              <w:right w:type="dxa" w:w="240"/>
            </w:tcMar>
          </w:tcPr>
          <w:p>
            <w:pPr>
              <w:spacing w:after="80" w:before="80" w:line="320"/>
              <w:jc w:val="left"/>
            </w:pPr>
            <w:r>
              <w:rPr>
                <w:rFonts w:ascii="Calibri" w:cs="Calibri" w:eastAsia="Calibri" w:hAnsi="Calibri"/>
                <w:b/>
                <w:bCs/>
                <w:i w:val="false"/>
                <w:iCs w:val="false"/>
                <w:color w:val="FFFFFF"/>
                <w:sz w:val="22"/>
                <w:szCs w:val="22"/>
              </w:rPr>
              <w:t xml:space="preserve">FAX</w:t>
            </w:r>
          </w:p>
        </w:tc>
        <w:tc>
          <w:tcPr>
            <w:tcW w:type="dxa" w:w="7020"/>
            <w:tcBorders>
              <w:top w:val="single" w:color="CFE0DE" w:sz="4"/>
              <w:left w:val="single" w:color="CFE0DE" w:sz="4"/>
              <w:bottom w:val="single" w:color="CFE0DE" w:sz="4"/>
              <w:right w:val="single" w:color="CFE0DE" w:sz="4"/>
            </w:tcBorders>
            <w:shd w:fill="FFFFFF" w:val="clear"/>
            <w:tcMar>
              <w:top w:type="dxa" w:w="200"/>
              <w:left w:type="dxa" w:w="240"/>
              <w:bottom w:type="dxa" w:w="20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(425) 533-2540</w:t>
            </w:r>
          </w:p>
        </w:tc>
      </w:tr>
      <w:tr>
        <w:tc>
          <w:tcPr>
            <w:tcW w:type="dxa" w:w="2340"/>
            <w:tcBorders>
              <w:top w:val="single" w:color="CFE0DE" w:sz="4"/>
              <w:left w:val="single" w:color="CFE0DE" w:sz="4"/>
              <w:bottom w:val="single" w:color="CFE0DE" w:sz="4"/>
              <w:right w:val="single" w:color="CFE0DE" w:sz="4"/>
            </w:tcBorders>
            <w:shd w:fill="1A6F73" w:val="clear"/>
            <w:tcMar>
              <w:top w:type="dxa" w:w="200"/>
              <w:left w:type="dxa" w:w="240"/>
              <w:bottom w:type="dxa" w:w="200"/>
              <w:right w:type="dxa" w:w="240"/>
            </w:tcMar>
          </w:tcPr>
          <w:p>
            <w:pPr>
              <w:spacing w:after="80" w:before="80" w:line="320"/>
              <w:jc w:val="left"/>
            </w:pPr>
            <w:r>
              <w:rPr>
                <w:rFonts w:ascii="Calibri" w:cs="Calibri" w:eastAsia="Calibri" w:hAnsi="Calibri"/>
                <w:b/>
                <w:bCs/>
                <w:i w:val="false"/>
                <w:iCs w:val="false"/>
                <w:color w:val="FFFFFF"/>
                <w:sz w:val="22"/>
                <w:szCs w:val="22"/>
              </w:rPr>
              <w:t xml:space="preserve">EMAIL</w:t>
            </w:r>
          </w:p>
        </w:tc>
        <w:tc>
          <w:tcPr>
            <w:tcW w:type="dxa" w:w="7020"/>
            <w:tcBorders>
              <w:top w:val="single" w:color="CFE0DE" w:sz="4"/>
              <w:left w:val="single" w:color="CFE0DE" w:sz="4"/>
              <w:bottom w:val="single" w:color="CFE0DE" w:sz="4"/>
              <w:right w:val="single" w:color="CFE0DE" w:sz="4"/>
            </w:tcBorders>
            <w:shd w:fill="FFFFFF" w:val="clear"/>
            <w:tcMar>
              <w:top w:type="dxa" w:w="200"/>
              <w:left w:type="dxa" w:w="240"/>
              <w:bottom w:type="dxa" w:w="20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infusion@kirklandspecialty.com</w:t>
            </w:r>
          </w:p>
        </w:tc>
      </w:tr>
      <w:tr>
        <w:tc>
          <w:tcPr>
            <w:tcW w:type="dxa" w:w="2340"/>
            <w:tcBorders>
              <w:top w:val="single" w:color="CFE0DE" w:sz="4"/>
              <w:left w:val="single" w:color="CFE0DE" w:sz="4"/>
              <w:bottom w:val="single" w:color="CFE0DE" w:sz="4"/>
              <w:right w:val="single" w:color="CFE0DE" w:sz="4"/>
            </w:tcBorders>
            <w:shd w:fill="1A6F73" w:val="clear"/>
            <w:tcMar>
              <w:top w:type="dxa" w:w="200"/>
              <w:left w:type="dxa" w:w="240"/>
              <w:bottom w:type="dxa" w:w="200"/>
              <w:right w:type="dxa" w:w="240"/>
            </w:tcMar>
          </w:tcPr>
          <w:p>
            <w:pPr>
              <w:spacing w:after="80" w:before="80" w:line="320"/>
              <w:jc w:val="left"/>
            </w:pPr>
            <w:r>
              <w:rPr>
                <w:rFonts w:ascii="Calibri" w:cs="Calibri" w:eastAsia="Calibri" w:hAnsi="Calibri"/>
                <w:b/>
                <w:bCs/>
                <w:i w:val="false"/>
                <w:iCs w:val="false"/>
                <w:color w:val="FFFFFF"/>
                <w:sz w:val="22"/>
                <w:szCs w:val="22"/>
              </w:rPr>
              <w:t xml:space="preserve">WEBSITE</w:t>
            </w:r>
          </w:p>
        </w:tc>
        <w:tc>
          <w:tcPr>
            <w:tcW w:type="dxa" w:w="7020"/>
            <w:tcBorders>
              <w:top w:val="single" w:color="CFE0DE" w:sz="4"/>
              <w:left w:val="single" w:color="CFE0DE" w:sz="4"/>
              <w:bottom w:val="single" w:color="CFE0DE" w:sz="4"/>
              <w:right w:val="single" w:color="CFE0DE" w:sz="4"/>
            </w:tcBorders>
            <w:shd w:fill="FFFFFF" w:val="clear"/>
            <w:tcMar>
              <w:top w:type="dxa" w:w="200"/>
              <w:left w:type="dxa" w:w="240"/>
              <w:bottom w:type="dxa" w:w="20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www.kirklandspecialtyinfusions.com</w:t>
            </w:r>
          </w:p>
        </w:tc>
      </w:tr>
      <w:tr>
        <w:tc>
          <w:tcPr>
            <w:tcW w:type="dxa" w:w="2340"/>
            <w:tcBorders>
              <w:top w:val="single" w:color="CFE0DE" w:sz="4"/>
              <w:left w:val="single" w:color="CFE0DE" w:sz="4"/>
              <w:bottom w:val="single" w:color="CFE0DE" w:sz="4"/>
              <w:right w:val="single" w:color="CFE0DE" w:sz="4"/>
            </w:tcBorders>
            <w:shd w:fill="1A6F73" w:val="clear"/>
            <w:tcMar>
              <w:top w:type="dxa" w:w="200"/>
              <w:left w:type="dxa" w:w="240"/>
              <w:bottom w:type="dxa" w:w="200"/>
              <w:right w:type="dxa" w:w="240"/>
            </w:tcMar>
          </w:tcPr>
          <w:p>
            <w:pPr>
              <w:spacing w:after="80" w:before="80" w:line="320"/>
              <w:jc w:val="left"/>
            </w:pPr>
            <w:r>
              <w:rPr>
                <w:rFonts w:ascii="Calibri" w:cs="Calibri" w:eastAsia="Calibri" w:hAnsi="Calibri"/>
                <w:b/>
                <w:bCs/>
                <w:i w:val="false"/>
                <w:iCs w:val="false"/>
                <w:color w:val="FFFFFF"/>
                <w:sz w:val="22"/>
                <w:szCs w:val="22"/>
              </w:rPr>
              <w:t xml:space="preserve">HOURS</w:t>
            </w:r>
          </w:p>
        </w:tc>
        <w:tc>
          <w:tcPr>
            <w:tcW w:type="dxa" w:w="7020"/>
            <w:tcBorders>
              <w:top w:val="single" w:color="CFE0DE" w:sz="4"/>
              <w:left w:val="single" w:color="CFE0DE" w:sz="4"/>
              <w:bottom w:val="single" w:color="CFE0DE" w:sz="4"/>
              <w:right w:val="single" w:color="CFE0DE" w:sz="4"/>
            </w:tcBorders>
            <w:shd w:fill="FFFFFF" w:val="clear"/>
            <w:tcMar>
              <w:top w:type="dxa" w:w="200"/>
              <w:left w:type="dxa" w:w="240"/>
              <w:bottom w:type="dxa" w:w="200"/>
              <w:right w:type="dxa" w:w="240"/>
            </w:tcMar>
          </w:tcPr>
          <w:p>
            <w:pPr>
              <w:spacing w:after="80" w:before="80" w:line="320"/>
              <w:jc w:val="left"/>
            </w:pPr>
            <w:r>
              <w:rPr>
                <w:rFonts w:ascii="Calibri" w:cs="Calibri" w:eastAsia="Calibri" w:hAnsi="Calibri"/>
                <w:b w:val="false"/>
                <w:bCs w:val="false"/>
                <w:i w:val="false"/>
                <w:iCs w:val="false"/>
                <w:color w:val="2C3E50"/>
                <w:sz w:val="22"/>
                <w:szCs w:val="22"/>
              </w:rPr>
              <w:t xml:space="preserve">Monday – Friday: 7:30 AM – 5:00 PM</w:t>
            </w:r>
          </w:p>
          <w:p>
            <w:pPr>
              <w:spacing w:after="80" w:before="80" w:line="320"/>
              <w:jc w:val="left"/>
            </w:pPr>
            <w:r>
              <w:rPr>
                <w:rFonts w:ascii="Calibri" w:cs="Calibri" w:eastAsia="Calibri" w:hAnsi="Calibri"/>
                <w:b w:val="false"/>
                <w:bCs w:val="false"/>
                <w:i w:val="false"/>
                <w:iCs w:val="false"/>
                <w:color w:val="2C3E50"/>
                <w:sz w:val="22"/>
                <w:szCs w:val="22"/>
              </w:rPr>
              <w:t xml:space="preserve">Saturday &amp; Sunday: Closed</w:t>
            </w:r>
          </w:p>
        </w:tc>
      </w:tr>
    </w:tbl>
    <w:p>
      <w:pPr>
        <w:spacing w:after="200" w:before="200"/>
      </w:pPr>
      <w:r>
        <w:rPr>
          <w:rFonts w:ascii="Calibri" w:cs="Calibri" w:eastAsia="Calibri" w:hAnsi="Calibri"/>
          <w:b w:val="false"/>
          <w:bCs w:val="false"/>
          <w:i w:val="false"/>
          <w:iCs w:val="false"/>
          <w:color w:val="2C3E50"/>
          <w:sz w:val="22"/>
          <w:szCs w:val="22"/>
        </w:rPr>
        <w:t xml:space="preserve"/>
      </w:r>
    </w:p>
    <w:p>
      <w:pPr>
        <w:spacing w:after="80" w:before="320"/>
      </w:pPr>
      <w:r>
        <w:rPr>
          <w:rFonts w:ascii="Calibri" w:cs="Calibri" w:eastAsia="Calibri" w:hAnsi="Calibri"/>
          <w:b/>
          <w:bCs/>
          <w:i w:val="false"/>
          <w:iCs w:val="false"/>
          <w:color w:val="1A6F73"/>
          <w:sz w:val="18"/>
          <w:szCs w:val="18"/>
        </w:rPr>
        <w:t xml:space="preserve">GETTING HERE</w:t>
      </w:r>
    </w:p>
    <w:p>
      <w:pPr>
        <w:spacing w:after="80" w:before="80" w:line="320"/>
        <w:jc w:val="left"/>
      </w:pPr>
      <w:r>
        <w:rPr>
          <w:rFonts w:ascii="Calibri" w:cs="Calibri" w:eastAsia="Calibri" w:hAnsi="Calibri"/>
          <w:b w:val="false"/>
          <w:bCs w:val="false"/>
          <w:i w:val="false"/>
          <w:iCs w:val="false"/>
          <w:color w:val="2C3E50"/>
          <w:sz w:val="22"/>
          <w:szCs w:val="22"/>
        </w:rPr>
        <w:t xml:space="preserve">We are located in Kirkland, Washington, just off I-405 and easily accessible from Bellevue, Redmond, Bothell, Woodinville, and the greater Eastside. Free parking is available on-site. Our suite is on the ground floor and fully wheelchair accessible.</w:t>
      </w:r>
    </w:p>
    <w:p>
      <w:pPr>
        <w:spacing w:after="80" w:before="80" w:line="320"/>
        <w:jc w:val="left"/>
      </w:pPr>
      <w:r>
        <w:rPr>
          <w:rFonts w:ascii="Calibri" w:cs="Calibri" w:eastAsia="Calibri" w:hAnsi="Calibri"/>
          <w:b w:val="false"/>
          <w:bCs w:val="false"/>
          <w:i w:val="false"/>
          <w:iCs w:val="false"/>
          <w:color w:val="2C3E50"/>
          <w:sz w:val="22"/>
          <w:szCs w:val="22"/>
        </w:rPr>
        <w:t xml:space="preserve">[Embed: interactive Google Map at this point]</w:t>
      </w:r>
    </w:p>
    <w:p>
      <w:pPr>
        <w:spacing w:after="80" w:before="320"/>
      </w:pPr>
      <w:r>
        <w:rPr>
          <w:rFonts w:ascii="Calibri" w:cs="Calibri" w:eastAsia="Calibri" w:hAnsi="Calibri"/>
          <w:b/>
          <w:bCs/>
          <w:i w:val="false"/>
          <w:iCs w:val="false"/>
          <w:color w:val="1A6F73"/>
          <w:sz w:val="18"/>
          <w:szCs w:val="18"/>
        </w:rPr>
        <w:t xml:space="preserve">SCHEDULE YOUR INFUSION</w:t>
      </w:r>
    </w:p>
    <w:p>
      <w:pPr>
        <w:spacing w:after="80" w:before="80" w:line="320"/>
        <w:jc w:val="left"/>
      </w:pPr>
      <w:r>
        <w:rPr>
          <w:rFonts w:ascii="Calibri" w:cs="Calibri" w:eastAsia="Calibri" w:hAnsi="Calibri"/>
          <w:b w:val="false"/>
          <w:bCs w:val="false"/>
          <w:i w:val="false"/>
          <w:iCs w:val="false"/>
          <w:color w:val="2C3E50"/>
          <w:sz w:val="22"/>
          <w:szCs w:val="22"/>
        </w:rPr>
        <w:t xml:space="preserve">Existing patients can schedule, reschedule, or confirm an infusion appointment by calling (425) 453-0766 ext. 105 or by submitting a request through the contact form below. New patients will need a referral from their physician — see the Refer a Patient page for details.</w:t>
      </w:r>
    </w:p>
    <w:p>
      <w:pPr>
        <w:spacing w:after="80" w:before="320"/>
      </w:pPr>
      <w:r>
        <w:rPr>
          <w:rFonts w:ascii="Calibri" w:cs="Calibri" w:eastAsia="Calibri" w:hAnsi="Calibri"/>
          <w:b/>
          <w:bCs/>
          <w:i w:val="false"/>
          <w:iCs w:val="false"/>
          <w:color w:val="1A6F73"/>
          <w:sz w:val="18"/>
          <w:szCs w:val="18"/>
        </w:rPr>
        <w:t xml:space="preserve">CONTACT FORM (DESCRIPTION FOR DEVELOPERS)</w:t>
      </w:r>
    </w:p>
    <w:p>
      <w:pPr>
        <w:spacing w:after="80" w:before="80" w:line="320"/>
        <w:jc w:val="left"/>
      </w:pPr>
      <w:r>
        <w:rPr>
          <w:rFonts w:ascii="Calibri" w:cs="Calibri" w:eastAsia="Calibri" w:hAnsi="Calibri"/>
          <w:b w:val="false"/>
          <w:bCs w:val="false"/>
          <w:i w:val="false"/>
          <w:iCs w:val="false"/>
          <w:color w:val="2C3E50"/>
          <w:sz w:val="22"/>
          <w:szCs w:val="22"/>
        </w:rPr>
        <w:t xml:space="preserve">Place a HIPAA-compliant contact form here with fields for: name, phone, email, reason for contact (dropdown: schedule a visit / question about my treatment / billing question / refer a patient / other), and message. Form submissions should route to a dedicated inbox monitored during business hours, with same-business-day acknowledgment.</w:t>
      </w:r>
    </w:p>
    <w:p>
      <w:pPr>
        <w:spacing w:after="80" w:before="320"/>
      </w:pPr>
      <w:r>
        <w:rPr>
          <w:rFonts w:ascii="Calibri" w:cs="Calibri" w:eastAsia="Calibri" w:hAnsi="Calibri"/>
          <w:b/>
          <w:bCs/>
          <w:i w:val="false"/>
          <w:iCs w:val="false"/>
          <w:color w:val="1A6F73"/>
          <w:sz w:val="18"/>
          <w:szCs w:val="18"/>
        </w:rPr>
        <w:t xml:space="preserve">FINAL REASSURANCE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73" w:sz="8"/>
              <w:left w:val="single" w:color="1A6F73" w:sz="24"/>
              <w:bottom w:val="single" w:color="1A6F73" w:sz="8"/>
              <w:right w:val="single" w:color="CFE0DE" w:sz="4"/>
            </w:tcBorders>
            <w:shd w:fill="F2F7F7" w:val="clear"/>
            <w:tcMar>
              <w:top w:type="dxa" w:w="200"/>
              <w:left w:type="dxa" w:w="240"/>
              <w:bottom w:type="dxa" w:w="200"/>
              <w:right w:type="dxa" w:w="240"/>
            </w:tcMar>
          </w:tcPr>
          <w:p>
            <w:pPr>
              <w:spacing w:after="80" w:before="0"/>
              <w:jc w:val="left"/>
            </w:pPr>
            <w:r>
              <w:rPr>
                <w:rFonts w:ascii="Calibri" w:cs="Calibri" w:eastAsia="Calibri" w:hAnsi="Calibri"/>
                <w:b/>
                <w:bCs/>
                <w:i w:val="false"/>
                <w:iCs w:val="false"/>
                <w:color w:val="0F3D47"/>
                <w:sz w:val="24"/>
                <w:szCs w:val="24"/>
              </w:rPr>
              <w:t xml:space="preserve">Your Patient. Our Priority. Every Time.</w:t>
            </w:r>
          </w:p>
          <w:p>
            <w:pPr>
              <w:spacing w:after="0" w:before="40" w:line="320"/>
              <w:jc w:val="left"/>
            </w:pPr>
            <w:r>
              <w:rPr>
                <w:rFonts w:ascii="Calibri" w:cs="Calibri" w:eastAsia="Calibri" w:hAnsi="Calibri"/>
                <w:b w:val="false"/>
                <w:bCs w:val="false"/>
                <w:i w:val="false"/>
                <w:iCs w:val="false"/>
                <w:color w:val="2C3E50"/>
                <w:sz w:val="22"/>
                <w:szCs w:val="22"/>
              </w:rPr>
              <w:t xml:space="preserve">Whether you are a referring physician, a patient walking into your first infusion, or a family member trying to understand a loved one's care — we are here, we are reachable, and we will treat your questions as if they were our own. Welcome to Kirkland Specialty Infusion Center.</w:t>
            </w:r>
          </w:p>
        </w:tc>
      </w:tr>
    </w:tbl>
    <w:p>
      <w:r>
        <w:br w:type="page"/>
      </w:r>
    </w:p>
    <w:p>
      <w:pPr>
        <w:spacing w:after="120" w:before="360"/>
      </w:pPr>
      <w:r>
        <w:rPr>
          <w:rFonts w:ascii="Calibri" w:cs="Calibri" w:eastAsia="Calibri" w:hAnsi="Calibri"/>
          <w:b/>
          <w:bCs/>
          <w:i w:val="false"/>
          <w:iCs w:val="false"/>
          <w:color w:val="0F3D47"/>
          <w:sz w:val="36"/>
          <w:szCs w:val="36"/>
        </w:rPr>
        <w:t xml:space="preserve">Appendix — Next Steps</w:t>
      </w:r>
    </w:p>
    <w:p>
      <w:pPr>
        <w:spacing w:after="240" w:before="0"/>
      </w:pPr>
      <w:r>
        <w:rPr>
          <w:rFonts w:ascii="Calibri" w:cs="Calibri" w:eastAsia="Calibri" w:hAnsi="Calibri"/>
          <w:b w:val="false"/>
          <w:bCs w:val="false"/>
          <w:i/>
          <w:iCs/>
          <w:color w:val="1A6F73"/>
          <w:sz w:val="24"/>
          <w:szCs w:val="24"/>
        </w:rPr>
        <w:t xml:space="preserve">Recommendations from SGSL for handoff and execution</w:t>
      </w:r>
    </w:p>
    <w:p>
      <w:pPr>
        <w:spacing w:after="80" w:before="320"/>
      </w:pPr>
      <w:r>
        <w:rPr>
          <w:rFonts w:ascii="Calibri" w:cs="Calibri" w:eastAsia="Calibri" w:hAnsi="Calibri"/>
          <w:b/>
          <w:bCs/>
          <w:i w:val="false"/>
          <w:iCs w:val="false"/>
          <w:color w:val="1A6F73"/>
          <w:sz w:val="18"/>
          <w:szCs w:val="18"/>
        </w:rPr>
        <w:t xml:space="preserve">RECOMMENDED PROJECT SEQUENCE</w:t>
      </w:r>
    </w:p>
    <w:p>
      <w:pPr>
        <w:pStyle w:val="ListParagraph"/>
        <w:numPr>
          <w:ilvl w:val="0"/>
          <w:numId w:val="3"/>
        </w:numPr>
        <w:spacing w:after="60" w:before="60" w:line="300"/>
      </w:pPr>
      <w:r>
        <w:rPr>
          <w:rFonts w:ascii="Calibri" w:cs="Calibri" w:eastAsia="Calibri" w:hAnsi="Calibri"/>
          <w:b w:val="false"/>
          <w:bCs w:val="false"/>
          <w:i w:val="false"/>
          <w:iCs w:val="false"/>
          <w:color w:val="2C3E50"/>
          <w:sz w:val="22"/>
          <w:szCs w:val="22"/>
        </w:rPr>
        <w:t xml:space="preserve">Kirkland Specialty Infusion Center (this document) — priority 1, content frozen and ready for design.</w:t>
      </w:r>
    </w:p>
    <w:p>
      <w:pPr>
        <w:pStyle w:val="ListParagraph"/>
        <w:numPr>
          <w:ilvl w:val="0"/>
          <w:numId w:val="3"/>
        </w:numPr>
        <w:spacing w:after="60" w:before="60" w:line="300"/>
      </w:pPr>
      <w:r>
        <w:rPr>
          <w:rFonts w:ascii="Calibri" w:cs="Calibri" w:eastAsia="Calibri" w:hAnsi="Calibri"/>
          <w:b w:val="false"/>
          <w:bCs w:val="false"/>
          <w:i w:val="false"/>
          <w:iCs w:val="false"/>
          <w:color w:val="2C3E50"/>
          <w:sz w:val="22"/>
          <w:szCs w:val="22"/>
        </w:rPr>
        <w:t xml:space="preserve">Evergreen Rheumatology — priority 2, to be built in parallel using the same design system with rheumatology-practice content (providers, conditions treated, gout clinic, clinical research linkage to Lakeside Research).</w:t>
      </w:r>
    </w:p>
    <w:p>
      <w:pPr>
        <w:pStyle w:val="ListParagraph"/>
        <w:numPr>
          <w:ilvl w:val="0"/>
          <w:numId w:val="3"/>
        </w:numPr>
        <w:spacing w:after="60" w:before="60" w:line="300"/>
      </w:pPr>
      <w:r>
        <w:rPr>
          <w:rFonts w:ascii="Calibri" w:cs="Calibri" w:eastAsia="Calibri" w:hAnsi="Calibri"/>
          <w:b w:val="false"/>
          <w:bCs w:val="false"/>
          <w:i w:val="false"/>
          <w:iCs w:val="false"/>
          <w:color w:val="2C3E50"/>
          <w:sz w:val="22"/>
          <w:szCs w:val="22"/>
        </w:rPr>
        <w:t xml:space="preserve">Overlake Arthritis redesign — priority 3, with content migration, provider photography refresh, and information architecture overhaul (deferred until after Evergreen launches, per prior agreement).</w:t>
      </w:r>
    </w:p>
    <w:p>
      <w:pPr>
        <w:spacing w:after="80" w:before="320"/>
      </w:pPr>
      <w:r>
        <w:rPr>
          <w:rFonts w:ascii="Calibri" w:cs="Calibri" w:eastAsia="Calibri" w:hAnsi="Calibri"/>
          <w:b/>
          <w:bCs/>
          <w:i w:val="false"/>
          <w:iCs w:val="false"/>
          <w:color w:val="1A6F73"/>
          <w:sz w:val="18"/>
          <w:szCs w:val="18"/>
        </w:rPr>
        <w:t xml:space="preserve">OPEN ITEMS REQUIRING DR. DADA'S INPUT</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Confirm physician and clinical staff bios, photographs, and credentials for the About / Our Team page.</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Confirm full list of accepted insurance carriers for the Insurance page.</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Confirm any medications to add or remove from the published formulary.</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Approve testimonial collection plan (which patients to approach, with consent).</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Approve referral form fields and contact form fields.</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Confirm whether saturday hours, telehealth screening visits, or after-hours nurse line should be added in phase 2.</w:t>
      </w:r>
    </w:p>
    <w:p>
      <w:pPr>
        <w:pStyle w:val="ListParagraph"/>
        <w:numPr>
          <w:ilvl w:val="0"/>
          <w:numId w:val="2"/>
        </w:numPr>
        <w:spacing w:after="60" w:before="60" w:line="300"/>
      </w:pPr>
      <w:r>
        <w:rPr>
          <w:rFonts w:ascii="Calibri" w:cs="Calibri" w:eastAsia="Calibri" w:hAnsi="Calibri"/>
          <w:b w:val="false"/>
          <w:bCs w:val="false"/>
          <w:i w:val="false"/>
          <w:iCs w:val="false"/>
          <w:color w:val="2C3E50"/>
          <w:sz w:val="22"/>
          <w:szCs w:val="22"/>
        </w:rPr>
        <w:t xml:space="preserve">Confirm domain configuration (DNS, hosting) for kirklandspecialtyinfusions.com.</w:t>
      </w:r>
    </w:p>
    <w:p>
      <w:pPr>
        <w:spacing w:after="80" w:before="320"/>
      </w:pPr>
      <w:r>
        <w:rPr>
          <w:rFonts w:ascii="Calibri" w:cs="Calibri" w:eastAsia="Calibri" w:hAnsi="Calibri"/>
          <w:b/>
          <w:bCs/>
          <w:i w:val="false"/>
          <w:iCs w:val="false"/>
          <w:color w:val="1A6F73"/>
          <w:sz w:val="18"/>
          <w:szCs w:val="18"/>
        </w:rPr>
        <w:t xml:space="preserve">BUILD APPROACH</w:t>
      </w:r>
    </w:p>
    <w:p>
      <w:pPr>
        <w:spacing w:after="80" w:before="80" w:line="320"/>
        <w:jc w:val="left"/>
      </w:pPr>
      <w:r>
        <w:rPr>
          <w:rFonts w:ascii="Calibri" w:cs="Calibri" w:eastAsia="Calibri" w:hAnsi="Calibri"/>
          <w:b w:val="false"/>
          <w:bCs w:val="false"/>
          <w:i w:val="false"/>
          <w:iCs w:val="false"/>
          <w:color w:val="2C3E50"/>
          <w:sz w:val="22"/>
          <w:szCs w:val="22"/>
        </w:rPr>
        <w:t xml:space="preserve">Recommend mirroring the WordPress + GoHighLevel stack used for Lakeside Research, with HIPAA-compliant form handling for the referral and contact forms. This keeps administrative tooling consistent across all three Dada-affiliated sites and simplifies training for Jona and Aaron, who are already being onboarded on the Lakeside platform.</w:t>
      </w:r>
    </w:p>
    <w:p>
      <w:pPr>
        <w:spacing w:after="80" w:before="320"/>
      </w:pPr>
      <w:r>
        <w:rPr>
          <w:rFonts w:ascii="Calibri" w:cs="Calibri" w:eastAsia="Calibri" w:hAnsi="Calibri"/>
          <w:b/>
          <w:bCs/>
          <w:i w:val="false"/>
          <w:iCs w:val="false"/>
          <w:color w:val="1A6F73"/>
          <w:sz w:val="18"/>
          <w:szCs w:val="18"/>
        </w:rPr>
        <w:t xml:space="preserve">ESTIMATED DELIVERY TIMELINE</w:t>
      </w:r>
    </w:p>
    <w:p>
      <w:pPr>
        <w:spacing w:after="80" w:before="80" w:line="320"/>
        <w:jc w:val="left"/>
      </w:pPr>
      <w:r>
        <w:rPr>
          <w:rFonts w:ascii="Calibri" w:cs="Calibri" w:eastAsia="Calibri" w:hAnsi="Calibri"/>
          <w:b w:val="false"/>
          <w:bCs w:val="false"/>
          <w:i w:val="false"/>
          <w:iCs w:val="false"/>
          <w:color w:val="2C3E50"/>
          <w:sz w:val="22"/>
          <w:szCs w:val="22"/>
        </w:rPr>
        <w:t xml:space="preserve">Three to four weeks from content sign-off to live site, assuming photography and provider bios are delivered within the first week. Phase 1 launch includes Home, About, Specialties, Medications &amp; Therapies, For Patients, For Referring Physicians, Insurance, FAQs, and Contact. Blog and Gallery to be added in a phase 2 cycle after launch.</w:t>
      </w:r>
    </w:p>
    <w:p>
      <w:pPr>
        <w:spacing w:after="300" w:before="300"/>
      </w:pPr>
      <w:r>
        <w:rPr>
          <w:rFonts w:ascii="Calibri" w:cs="Calibri" w:eastAsia="Calibri" w:hAnsi="Calibri"/>
          <w:b w:val="false"/>
          <w:bCs w:val="false"/>
          <w:i w:val="false"/>
          <w:iCs w:val="false"/>
          <w:color w:val="2C3E50"/>
          <w:sz w:val="22"/>
          <w:szCs w:val="22"/>
        </w:rPr>
        <w:t xml:space="preserve"/>
      </w:r>
    </w:p>
    <w:p>
      <w:pPr>
        <w:pBdr>
          <w:top w:val="single" w:color="1A6F73" w:sz="8" w:space="8"/>
        </w:pBdr>
        <w:spacing w:after="0" w:before="400"/>
        <w:jc w:val="center"/>
      </w:pPr>
      <w:r>
        <w:rPr>
          <w:rFonts w:ascii="Calibri" w:cs="Calibri" w:eastAsia="Calibri" w:hAnsi="Calibri"/>
          <w:b w:val="false"/>
          <w:bCs w:val="false"/>
          <w:i/>
          <w:iCs/>
          <w:color w:val="5A6C7D"/>
          <w:sz w:val="20"/>
          <w:szCs w:val="20"/>
        </w:rPr>
        <w:t xml:space="preserve">End of document.</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F73" w:sz="4" w:space="4"/>
      </w:pBdr>
      <w:jc w:val="center"/>
    </w:pPr>
    <w:r>
      <w:rPr>
        <w:rFonts w:ascii="Calibri" w:cs="Calibri" w:eastAsia="Calibri" w:hAnsi="Calibri"/>
        <w:b w:val="false"/>
        <w:bCs w:val="false"/>
        <w:i w:val="false"/>
        <w:iCs w:val="false"/>
        <w:color w:val="5A6C7D"/>
        <w:sz w:val="18"/>
        <w:szCs w:val="18"/>
      </w:rPr>
      <w:t xml:space="preserve">Prepared by Seer Global Solutions Limited for Dr. Arinola Dada    |    Page </w:t>
    </w:r>
    <w:r>
      <w:rPr>
        <w:color w:val="5A6C7D"/>
        <w:sz w:val="18"/>
        <w:szCs w:val="18"/>
      </w:rPr>
      <w:fldChar w:fldCharType="begin"/>
      <w:instrText xml:space="preserve">PAGE</w:instrText>
      <w:fldChar w:fldCharType="separate"/>
      <w:fldChar w:fldCharType="end"/>
    </w:r>
    <w:r>
      <w:rPr>
        <w:rFonts w:ascii="Calibri" w:cs="Calibri" w:eastAsia="Calibri" w:hAnsi="Calibri"/>
        <w:b w:val="false"/>
        <w:bCs w:val="false"/>
        <w:i w:val="false"/>
        <w:iCs w:val="false"/>
        <w:color w:val="5A6C7D"/>
        <w:sz w:val="18"/>
        <w:szCs w:val="18"/>
      </w:rPr>
      <w:t xml:space="preserve"> of </w:t>
    </w:r>
    <w:r>
      <w:rPr>
        <w:color w:val="5A6C7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F73" w:sz="4" w:space="4"/>
      </w:pBdr>
      <w:jc w:val="right"/>
    </w:pPr>
    <w:r>
      <w:rPr>
        <w:rFonts w:ascii="Calibri" w:cs="Calibri" w:eastAsia="Calibri" w:hAnsi="Calibri"/>
        <w:b/>
        <w:bCs/>
        <w:i w:val="false"/>
        <w:iCs w:val="false"/>
        <w:color w:val="1A6F73"/>
        <w:sz w:val="18"/>
        <w:szCs w:val="18"/>
      </w:rPr>
      <w:t xml:space="preserve">Kirkland Specialty Infusion Center</w:t>
    </w:r>
    <w:r>
      <w:rPr>
        <w:rFonts w:ascii="Calibri" w:cs="Calibri" w:eastAsia="Calibri" w:hAnsi="Calibri"/>
        <w:b w:val="false"/>
        <w:bCs w:val="false"/>
        <w:i w:val="false"/>
        <w:iCs w:val="false"/>
        <w:color w:val="5A6C7D"/>
        <w:sz w:val="18"/>
        <w:szCs w:val="18"/>
      </w:rPr>
      <w:t xml:space="preserve">   |   </w:t>
    </w:r>
    <w:r>
      <w:rPr>
        <w:rFonts w:ascii="Calibri" w:cs="Calibri" w:eastAsia="Calibri" w:hAnsi="Calibri"/>
        <w:b w:val="false"/>
        <w:bCs w:val="false"/>
        <w:i w:val="false"/>
        <w:iCs w:val="false"/>
        <w:color w:val="5A6C7D"/>
        <w:sz w:val="18"/>
        <w:szCs w:val="18"/>
      </w:rPr>
      <w:t xml:space="preserve">Website Copy</w:t>
    </w:r>
    <w:r>
      <w:rPr>
        <w:rFonts w:ascii="Calibri" w:cs="Calibri" w:eastAsia="Calibri" w:hAnsi="Calibri"/>
        <w:b w:val="false"/>
        <w:bCs w:val="false"/>
        <w:i w:val="false"/>
        <w:iCs w:val="false"/>
        <w:color w:val="5A6C7D"/>
        <w:sz w:val="18"/>
        <w:szCs w:val="18"/>
      </w:rPr>
      <w:t xml:space="preserve">   |   </w:t>
    </w:r>
    <w:r>
      <w:rPr>
        <w:rFonts w:ascii="Calibri" w:cs="Calibri" w:eastAsia="Calibri" w:hAnsi="Calibri"/>
        <w:b w:val="false"/>
        <w:bCs w:val="false"/>
        <w:i w:val="false"/>
        <w:iCs w:val="false"/>
        <w:color w:val="5A6C7D"/>
        <w:sz w:val="18"/>
        <w:szCs w:val="18"/>
      </w:rPr>
      <w:t xml:space="preserve">SGSL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1A6F73"/>
      </w:rPr>
    </w:lvl>
  </w:abstractNum>
  <w:abstractNum w:abstractNumId="3" w15:restartNumberingAfterBreak="0">
    <w:multiLevelType w:val="hybridMultilevel"/>
    <w:lvl w:ilvl="0" w15:tentative="1">
      <w:start w:val="1"/>
      <w:numFmt w:val="decimal"/>
      <w:lvlText w:val="%1."/>
      <w:lvlJc w:val="left"/>
      <w:pPr>
        <w:ind w:left="540" w:hanging="270"/>
      </w:pPr>
      <w:rPr>
        <w:b/>
        <w:bCs/>
        <w:color w:val="0F3D4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F3D47"/>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A6F7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Kirkland Specialty Infusion Center — Website Copy</dc:title>
  <dc:creator>Seer Global Solutions Limited</dc:creator>
  <dc:description>Complete website copy for Kirkland Specialty Infusion Center, prepared for Dr. Arinola Dada.</dc:description>
  <cp:lastModifiedBy>Un-named</cp:lastModifiedBy>
  <cp:revision>1</cp:revision>
  <dcterms:created xsi:type="dcterms:W3CDTF">2026-05-16T02:07:07.082Z</dcterms:created>
  <dcterms:modified xsi:type="dcterms:W3CDTF">2026-05-16T02:07:07.095Z</dcterms:modified>
</cp:coreProperties>
</file>

<file path=docProps/custom.xml><?xml version="1.0" encoding="utf-8"?>
<Properties xmlns="http://schemas.openxmlformats.org/officeDocument/2006/custom-properties" xmlns:vt="http://schemas.openxmlformats.org/officeDocument/2006/docPropsVTypes"/>
</file>