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B6F65"/>
          <w:sz w:val="16"/>
          <w:szCs w:val="16"/>
        </w:rPr>
        <w:t xml:space="preserve">SGSL ENGINEERING — TEAM NOTE</w:t>
      </w:r>
    </w:p>
    <w:p>
      <w:pPr>
        <w:pBdr>
          <w:bottom w:val="single" w:color="2A9D8F" w:sz="8" w:space="6"/>
        </w:pBdr>
        <w:spacing w:after="240" w:before="0"/>
      </w:pPr>
      <w:r>
        <w:rPr>
          <w:rFonts w:ascii="Calibri" w:cs="Calibri" w:eastAsia="Calibri" w:hAnsi="Calibri"/>
          <w:b w:val="false"/>
          <w:bCs w:val="false"/>
          <w:i/>
          <w:iCs/>
          <w:color w:val="5A6C7D"/>
          <w:sz w:val="16"/>
          <w:szCs w:val="16"/>
        </w:rPr>
        <w:t xml:space="preserve">OAOC Three Branch Websites Project    |    May 2026</w:t>
      </w:r>
    </w:p>
    <w:p>
      <w:pPr>
        <w:spacing w:after="80" w:before="240"/>
      </w:pPr>
      <w:r>
        <w:rPr>
          <w:rFonts w:ascii="Calibri" w:cs="Calibri" w:eastAsia="Calibri" w:hAnsi="Calibri"/>
          <w:b/>
          <w:bCs/>
          <w:i w:val="false"/>
          <w:iCs w:val="false"/>
          <w:color w:val="0B1F33"/>
          <w:sz w:val="36"/>
          <w:szCs w:val="36"/>
        </w:rPr>
        <w:t xml:space="preserve">Project requirements are now locked</w:t>
      </w:r>
    </w:p>
    <w:p>
      <w:pPr>
        <w:spacing w:after="300" w:before="0"/>
      </w:pPr>
      <w:r>
        <w:rPr>
          <w:rFonts w:ascii="Calibri" w:cs="Calibri" w:eastAsia="Calibri" w:hAnsi="Calibri"/>
          <w:b w:val="false"/>
          <w:bCs w:val="false"/>
          <w:i/>
          <w:iCs/>
          <w:color w:val="5A6C7D"/>
          <w:sz w:val="22"/>
          <w:szCs w:val="22"/>
        </w:rPr>
        <w:t xml:space="preserve">Please read the consolidated requirements register before any further work on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8"/>
              <w:left w:val="single" w:color="D85A30" w:sz="24"/>
              <w:bottom w:val="single" w:color="D85A30" w:sz="8"/>
              <w:right w:val="single" w:color="D5DEE8" w:sz="4"/>
            </w:tcBorders>
            <w:shd w:fill="FBEAE0"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993C1D"/>
                <w:sz w:val="23"/>
                <w:szCs w:val="23"/>
              </w:rPr>
              <w:t xml:space="preserve">This register supersedes everything else</w:t>
            </w:r>
          </w:p>
          <w:p>
            <w:pPr>
              <w:spacing w:after="0" w:before="40" w:line="320"/>
              <w:jc w:val="left"/>
            </w:pPr>
            <w:r>
              <w:rPr>
                <w:rFonts w:ascii="Calibri" w:cs="Calibri" w:eastAsia="Calibri" w:hAnsi="Calibri"/>
                <w:b w:val="false"/>
                <w:bCs w:val="false"/>
                <w:i w:val="false"/>
                <w:iCs w:val="false"/>
                <w:color w:val="2C3E50"/>
                <w:sz w:val="22"/>
                <w:szCs w:val="22"/>
              </w:rPr>
              <w:t xml:space="preserve">The consolidated requirements register — SGSL-REQ-2026-016 — is now the single source of truth for this project. It supersedes any verbal direction, hallway conversation, chat message, or earlier interpretation you may be holding from prior discussions. If a requirement is not in the register, treat it as not yet a requirement. If the register and your memory of a previous conversation disagree, the register wins.</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90" w:before="280"/>
      </w:pPr>
      <w:r>
        <w:rPr>
          <w:rFonts w:ascii="Calibri" w:cs="Calibri" w:eastAsia="Calibri" w:hAnsi="Calibri"/>
          <w:b/>
          <w:bCs/>
          <w:i w:val="false"/>
          <w:iCs w:val="false"/>
          <w:color w:val="1B6F65"/>
          <w:sz w:val="18"/>
          <w:szCs w:val="18"/>
        </w:rPr>
        <w:t xml:space="preserve">WHAT THE REGISTER IS</w:t>
      </w:r>
    </w:p>
    <w:p>
      <w:pPr>
        <w:spacing w:after="80" w:before="80" w:line="322"/>
        <w:jc w:val="left"/>
      </w:pPr>
      <w:r>
        <w:rPr>
          <w:rFonts w:ascii="Calibri" w:cs="Calibri" w:eastAsia="Calibri" w:hAnsi="Calibri"/>
          <w:b w:val="false"/>
          <w:bCs w:val="false"/>
          <w:i w:val="false"/>
          <w:iCs w:val="false"/>
          <w:color w:val="2C3E50"/>
          <w:sz w:val="22"/>
          <w:szCs w:val="22"/>
        </w:rPr>
        <w:t xml:space="preserve">The register consolidates every requirement gathered from two stakeholder meetings held over the past 48 hours: the marketing kickoff with Brett Colbo (Dr. Dada’s marketing lead), Jona (Dr. Dada’s executive assistant), and Victor; and the founder review meeting between Dr. Dada and Ewaen. Items where Ewaen’s comments were agreed by the other stakeholders are included as confirmed requirements.</w:t>
      </w:r>
    </w:p>
    <w:p>
      <w:pPr>
        <w:spacing w:after="80" w:before="80" w:line="322"/>
        <w:jc w:val="left"/>
      </w:pPr>
      <w:r>
        <w:rPr>
          <w:rFonts w:ascii="Calibri" w:cs="Calibri" w:eastAsia="Calibri" w:hAnsi="Calibri"/>
          <w:b w:val="false"/>
          <w:bCs w:val="false"/>
          <w:i w:val="false"/>
          <w:iCs w:val="false"/>
          <w:color w:val="2C3E50"/>
          <w:sz w:val="22"/>
          <w:szCs w:val="22"/>
        </w:rPr>
        <w:t xml:space="preserve">Each requirement carries an ID, a priority (Must / Should / Nice), and a source tag (Brett mtg / Dada mtg / Both mtgs). Roughly 50 numbered requirements across 11 content sections, plus 11 open items tracked through the project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0B1F33"/>
                <w:sz w:val="23"/>
                <w:szCs w:val="23"/>
              </w:rPr>
              <w:t xml:space="preserve">Firm architectural commitment: the central referring-physician portal</w:t>
            </w:r>
          </w:p>
          <w:p>
            <w:pPr>
              <w:spacing w:after="0" w:before="40" w:line="320"/>
              <w:jc w:val="left"/>
            </w:pPr>
            <w:r>
              <w:rPr>
                <w:rFonts w:ascii="Calibri" w:cs="Calibri" w:eastAsia="Calibri" w:hAnsi="Calibri"/>
                <w:b w:val="false"/>
                <w:bCs w:val="false"/>
                <w:i w:val="false"/>
                <w:iCs w:val="false"/>
                <w:color w:val="2C3E50"/>
                <w:sz w:val="22"/>
                <w:szCs w:val="22"/>
              </w:rPr>
              <w:t xml:space="preserve">The referring-physician portal is built ONCE and shared CENTRALLY across all current and future infusion sites — Kirkland, Bellevue, and any later locations. One portal, one physician account, with destination-site selection on each referral. This was confirmed in three-way agreement between Dr. Dada, Ewaen, and Victor in the founder review meeting and is now a firm architectural commitment, not a design preference.</w:t>
            </w:r>
          </w:p>
          <w:p>
            <w:pPr>
              <w:spacing w:after="0" w:before="40" w:line="320"/>
              <w:jc w:val="left"/>
            </w:pPr>
            <w:r>
              <w:rPr>
                <w:rFonts w:ascii="Calibri" w:cs="Calibri" w:eastAsia="Calibri" w:hAnsi="Calibri"/>
                <w:b w:val="false"/>
                <w:bCs w:val="false"/>
                <w:i w:val="false"/>
                <w:iCs w:val="false"/>
                <w:color w:val="2C3E50"/>
                <w:sz w:val="22"/>
                <w:szCs w:val="22"/>
              </w:rPr>
              <w:t xml:space="preserve">Practical implication for the build: do not deploy two separate physician portals on the two infusion sites. The portal is a shared module reachable from each site’s "Refer a Patient" entry point. Submissions carry the destination site as a field on the referral. The architecture must scale to additional infusion locations without rebuilding. See R-6.1 through R-6.8 in the register for the full specification.</w:t>
            </w:r>
          </w:p>
        </w:tc>
      </w:tr>
    </w:tbl>
    <w:p>
      <w:pPr>
        <w:spacing w:after="120" w:before="120"/>
      </w:pPr>
      <w:r>
        <w:rPr>
          <w:rFonts w:ascii="Calibri" w:cs="Calibri" w:eastAsia="Calibri" w:hAnsi="Calibri"/>
          <w:b w:val="false"/>
          <w:bCs w:val="false"/>
          <w:i w:val="false"/>
          <w:iCs w:val="false"/>
          <w:color w:val="2C3E50"/>
          <w:sz w:val="22"/>
          <w:szCs w:val="22"/>
        </w:rPr>
        <w:t xml:space="preserve"/>
      </w:r>
    </w:p>
    <w:p>
      <w:pPr>
        <w:spacing w:after="90" w:before="280"/>
      </w:pPr>
      <w:r>
        <w:rPr>
          <w:rFonts w:ascii="Calibri" w:cs="Calibri" w:eastAsia="Calibri" w:hAnsi="Calibri"/>
          <w:b/>
          <w:bCs/>
          <w:i w:val="false"/>
          <w:iCs w:val="false"/>
          <w:color w:val="1B6F65"/>
          <w:sz w:val="18"/>
          <w:szCs w:val="18"/>
        </w:rPr>
        <w:t xml:space="preserve">FIVE CORRECTIONS WORTH FLAGGING IMMEDIATELY</w:t>
      </w:r>
    </w:p>
    <w:p>
      <w:pPr>
        <w:spacing w:after="80" w:before="80" w:line="322"/>
        <w:jc w:val="left"/>
      </w:pPr>
      <w:r>
        <w:rPr>
          <w:rFonts w:ascii="Calibri" w:cs="Calibri" w:eastAsia="Calibri" w:hAnsi="Calibri"/>
          <w:b w:val="false"/>
          <w:bCs w:val="false"/>
          <w:i w:val="false"/>
          <w:iCs w:val="false"/>
          <w:color w:val="2C3E50"/>
          <w:sz w:val="22"/>
          <w:szCs w:val="22"/>
        </w:rPr>
        <w:t xml:space="preserve">These came out of the meetings and may differ from earlier verbal direction. Apply them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Ref</w:t>
            </w:r>
          </w:p>
        </w:tc>
        <w:tc>
          <w:tcPr>
            <w:tcW w:type="dxa" w:w="2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Correction</w:t>
            </w:r>
          </w:p>
        </w:tc>
        <w:tc>
          <w:tcPr>
            <w:tcW w:type="dxa" w:w="55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What it means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R-2.1</w:t>
            </w:r>
          </w:p>
        </w:tc>
        <w:tc>
          <w:tcPr>
            <w:tcW w:type="dxa" w:w="2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Patient/physician balance is 60/40</w:t>
            </w:r>
          </w:p>
        </w:tc>
        <w:tc>
          <w:tcPr>
            <w:tcW w:type="dxa" w:w="55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current draft over-indexes on referring physicians. Patients do most of the perusing because they are scared and want to know what the place is like. Make patient-facing content more dominant.</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R-3.1, R-3.3</w:t>
            </w:r>
          </w:p>
        </w:tc>
        <w:tc>
          <w:tcPr>
            <w:tcW w:type="dxa" w:w="2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Conditions named individually; therapies grouped by specialty</w:t>
            </w:r>
          </w:p>
        </w:tc>
        <w:tc>
          <w:tcPr>
            <w:tcW w:type="dxa" w:w="55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No more umbrella "inflammatory arthritis" — name rheumatoid arthritis, ankylosing spondylitis, psoriatic arthritis, gout, etc. individually. Therapies organized by the specialty that uses them (rheumatology, MS/neurology, GI, dermatology, oncology, ophthalmology), not as one flat list. Biologic overlaps shown under each relevant specialty.</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R-4.3</w:t>
            </w:r>
          </w:p>
        </w:tc>
        <w:tc>
          <w:tcPr>
            <w:tcW w:type="dxa" w:w="2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NP pre-infusion visit happens AFTER prior auth</w:t>
            </w:r>
          </w:p>
        </w:tc>
        <w:tc>
          <w:tcPr>
            <w:tcW w:type="dxa" w:w="55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Dr. Dada was emphatic about the sequencing. The site’s patient-journey content must show: referral received → records reviewed → prior authorization started and confirmed → THEN the NP pre-infusion visit. Not the other way round.</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R-4.1, R-4.8</w:t>
            </w:r>
          </w:p>
        </w:tc>
        <w:tc>
          <w:tcPr>
            <w:tcW w:type="dxa" w:w="2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Patient journey is three named stages</w:t>
            </w:r>
          </w:p>
        </w:tc>
        <w:tc>
          <w:tcPr>
            <w:tcW w:type="dxa" w:w="55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Pre-Infusion, Infusion Day, Post-Infusion Follow-Up. Not a single timeline. The Pre-Infusion stage starts when the referral is received — not at "recognize symptoms" (that is the referring physician’s domain). Free nurse phone check-in on day of or day after infusion is part of Post-Infusion.</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R-5.3</w:t>
            </w:r>
          </w:p>
        </w:tc>
        <w:tc>
          <w:tcPr>
            <w:tcW w:type="dxa" w:w="2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"Provider always on site" — not "rheumatologist always on site"</w:t>
            </w:r>
          </w:p>
        </w:tc>
        <w:tc>
          <w:tcPr>
            <w:tcW w:type="dxa" w:w="55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nurse practitioner or a doctor is on site — not necessarily a rheumatologist. Replace every instance of the previous phrasing throughout the sites.</w:t>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90" w:before="280"/>
      </w:pPr>
      <w:r>
        <w:rPr>
          <w:rFonts w:ascii="Calibri" w:cs="Calibri" w:eastAsia="Calibri" w:hAnsi="Calibri"/>
          <w:b/>
          <w:bCs/>
          <w:i w:val="false"/>
          <w:iCs w:val="false"/>
          <w:color w:val="1B6F65"/>
          <w:sz w:val="18"/>
          <w:szCs w:val="18"/>
        </w:rPr>
        <w:t xml:space="preserve">WHAT TO DO NOW</w:t>
      </w:r>
    </w:p>
    <w:p>
      <w:pPr>
        <w:pStyle w:val="ListParagraph"/>
        <w:numPr>
          <w:ilvl w:val="0"/>
          <w:numId w:val="2"/>
        </w:numPr>
        <w:spacing w:after="56" w:before="56" w:line="304"/>
      </w:pPr>
      <w:r>
        <w:rPr>
          <w:rFonts w:ascii="Calibri" w:cs="Calibri" w:eastAsia="Calibri" w:hAnsi="Calibri"/>
          <w:b w:val="false"/>
          <w:bCs w:val="false"/>
          <w:i w:val="false"/>
          <w:iCs w:val="false"/>
          <w:color w:val="2C3E50"/>
          <w:sz w:val="21"/>
          <w:szCs w:val="21"/>
        </w:rPr>
        <w:t xml:space="preserve">Read the consolidated requirements register — SGSL-REQ-2026-016 — in full. It is 22 pages but mostly tables; allow 30 minutes.</w:t>
      </w:r>
    </w:p>
    <w:p>
      <w:pPr>
        <w:pStyle w:val="ListParagraph"/>
        <w:numPr>
          <w:ilvl w:val="0"/>
          <w:numId w:val="2"/>
        </w:numPr>
        <w:spacing w:after="56" w:before="56" w:line="304"/>
      </w:pPr>
      <w:r>
        <w:rPr>
          <w:rFonts w:ascii="Calibri" w:cs="Calibri" w:eastAsia="Calibri" w:hAnsi="Calibri"/>
          <w:b w:val="false"/>
          <w:bCs w:val="false"/>
          <w:i w:val="false"/>
          <w:iCs w:val="false"/>
          <w:color w:val="2C3E50"/>
          <w:sz w:val="21"/>
          <w:szCs w:val="21"/>
        </w:rPr>
        <w:t xml:space="preserve">Reconcile any work in progress against the register. If something you are building is not in the register, raise it with the project lead before continuing.</w:t>
      </w:r>
    </w:p>
    <w:p>
      <w:pPr>
        <w:pStyle w:val="ListParagraph"/>
        <w:numPr>
          <w:ilvl w:val="0"/>
          <w:numId w:val="2"/>
        </w:numPr>
        <w:spacing w:after="56" w:before="56" w:line="304"/>
      </w:pPr>
      <w:r>
        <w:rPr>
          <w:rFonts w:ascii="Calibri" w:cs="Calibri" w:eastAsia="Calibri" w:hAnsi="Calibri"/>
          <w:b w:val="false"/>
          <w:bCs w:val="false"/>
          <w:i w:val="false"/>
          <w:iCs w:val="false"/>
          <w:color w:val="2C3E50"/>
          <w:sz w:val="21"/>
          <w:szCs w:val="21"/>
        </w:rPr>
        <w:t xml:space="preserve">If you remember a verbal direction from a prior conversation that is not reflected in the register, do not assume it carries forward. Surface it to the project lead so it can be added (with the next ID in sequence) or set aside.</w:t>
      </w:r>
    </w:p>
    <w:p>
      <w:pPr>
        <w:pStyle w:val="ListParagraph"/>
        <w:numPr>
          <w:ilvl w:val="0"/>
          <w:numId w:val="2"/>
        </w:numPr>
        <w:spacing w:after="56" w:before="56" w:line="304"/>
      </w:pPr>
      <w:r>
        <w:rPr>
          <w:rFonts w:ascii="Calibri" w:cs="Calibri" w:eastAsia="Calibri" w:hAnsi="Calibri"/>
          <w:b w:val="false"/>
          <w:bCs w:val="false"/>
          <w:i w:val="false"/>
          <w:iCs w:val="false"/>
          <w:color w:val="2C3E50"/>
          <w:sz w:val="21"/>
          <w:szCs w:val="21"/>
        </w:rPr>
        <w:t xml:space="preserve">Definition of Done in the Developer Brief (SGSL-DEV-2026-016) still applies; the requirements register adds detail beneath it, it does not replace it.</w:t>
      </w:r>
    </w:p>
    <w:p>
      <w:pPr>
        <w:pStyle w:val="ListParagraph"/>
        <w:numPr>
          <w:ilvl w:val="0"/>
          <w:numId w:val="2"/>
        </w:numPr>
        <w:spacing w:after="56" w:before="56" w:line="304"/>
      </w:pPr>
      <w:r>
        <w:rPr>
          <w:rFonts w:ascii="Calibri" w:cs="Calibri" w:eastAsia="Calibri" w:hAnsi="Calibri"/>
          <w:b w:val="false"/>
          <w:bCs w:val="false"/>
          <w:i w:val="false"/>
          <w:iCs w:val="false"/>
          <w:color w:val="2C3E50"/>
          <w:sz w:val="21"/>
          <w:szCs w:val="21"/>
        </w:rPr>
        <w:t xml:space="preserve">Open items in Section 12 of the register are tracked weekly through the project lead. Flag any that block your work.</w:t>
      </w:r>
    </w:p>
    <w:p>
      <w:pPr>
        <w:spacing w:after="90" w:before="280"/>
      </w:pPr>
      <w:r>
        <w:rPr>
          <w:rFonts w:ascii="Calibri" w:cs="Calibri" w:eastAsia="Calibri" w:hAnsi="Calibri"/>
          <w:b/>
          <w:bCs/>
          <w:i w:val="false"/>
          <w:iCs w:val="false"/>
          <w:color w:val="1B6F65"/>
          <w:sz w:val="18"/>
          <w:szCs w:val="18"/>
        </w:rPr>
        <w:t xml:space="preserve">THREE DOCUMENTS — HOW THEY RELATE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c>
          <w:tcPr>
            <w:tcW w:type="dxa" w:w="30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Document</w:t>
            </w:r>
          </w:p>
        </w:tc>
        <w:tc>
          <w:tcPr>
            <w:tcW w:type="dxa" w:w="17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Reference</w:t>
            </w:r>
          </w:p>
        </w:tc>
        <w:tc>
          <w:tcPr>
            <w:tcW w:type="dxa" w:w="46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Purpose</w:t>
            </w:r>
          </w:p>
        </w:tc>
      </w:tr>
      <w:tr>
        <w:tc>
          <w:tcPr>
            <w:tcW w:type="dxa" w:w="30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Consolidated Requirements Register</w:t>
            </w:r>
          </w:p>
        </w:tc>
        <w:tc>
          <w:tcPr>
            <w:tcW w:type="dxa" w:w="17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SGSL-REQ-2026-016</w:t>
            </w:r>
          </w:p>
        </w:tc>
        <w:tc>
          <w:tcPr>
            <w:tcW w:type="dxa" w:w="46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single source of truth for what we are building. Read this first.</w:t>
            </w:r>
          </w:p>
        </w:tc>
      </w:tr>
      <w:tr>
        <w:tc>
          <w:tcPr>
            <w:tcW w:type="dxa" w:w="30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Developer Brief &amp; Build Specification</w:t>
            </w:r>
          </w:p>
        </w:tc>
        <w:tc>
          <w:tcPr>
            <w:tcW w:type="dxa" w:w="17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SGSL-DEV-2026-016</w:t>
            </w:r>
          </w:p>
        </w:tc>
        <w:tc>
          <w:tcPr>
            <w:tcW w:type="dxa" w:w="46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How we build it — scope, technical spec, timeline, Definition of Done. Already issued.</w:t>
            </w:r>
          </w:p>
        </w:tc>
      </w:tr>
      <w:tr>
        <w:tc>
          <w:tcPr>
            <w:tcW w:type="dxa" w:w="30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Client Proposal</w:t>
            </w:r>
          </w:p>
        </w:tc>
        <w:tc>
          <w:tcPr>
            <w:tcW w:type="dxa" w:w="17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SGSL-PROP-2026-016</w:t>
            </w:r>
          </w:p>
        </w:tc>
        <w:tc>
          <w:tcPr>
            <w:tcW w:type="dxa" w:w="46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client-facing document containing commercials. Not for the team.</w:t>
            </w:r>
          </w:p>
        </w:tc>
      </w:tr>
    </w:tbl>
    <w:p>
      <w:pPr>
        <w:spacing w:after="140" w:before="14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B3F" w:sz="8"/>
              <w:left w:val="single" w:color="B08B3F" w:sz="24"/>
              <w:bottom w:val="single" w:color="B08B3F" w:sz="8"/>
              <w:right w:val="single" w:color="D5DEE8" w:sz="4"/>
            </w:tcBorders>
            <w:shd w:fill="FBF6EB"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6B4A1D"/>
                <w:sz w:val="23"/>
                <w:szCs w:val="23"/>
              </w:rPr>
              <w:t xml:space="preserve">One more thing</w:t>
            </w:r>
          </w:p>
          <w:p>
            <w:pPr>
              <w:spacing w:after="0" w:before="40" w:line="320"/>
              <w:jc w:val="left"/>
            </w:pPr>
            <w:r>
              <w:rPr>
                <w:rFonts w:ascii="Calibri" w:cs="Calibri" w:eastAsia="Calibri" w:hAnsi="Calibri"/>
                <w:b w:val="false"/>
                <w:bCs w:val="false"/>
                <w:i w:val="false"/>
                <w:iCs w:val="false"/>
                <w:color w:val="2C3E50"/>
                <w:sz w:val="22"/>
                <w:szCs w:val="22"/>
              </w:rPr>
              <w:t xml:space="preserve">Anyone who joins this project after today reads the requirements register on their first day, before they touch any code. If the register changes (and it will, as the project progresses), it is updated in place — the IDs are stable, the content evolves, and the register stays the single source of truth. Treat it as a living document, not a one-off handover.</w:t>
            </w:r>
          </w:p>
        </w:tc>
      </w:tr>
    </w:tbl>
    <w:p>
      <w:pPr>
        <w:spacing w:after="200" w:before="200"/>
      </w:pPr>
      <w:r>
        <w:rPr>
          <w:rFonts w:ascii="Calibri" w:cs="Calibri" w:eastAsia="Calibri" w:hAnsi="Calibri"/>
          <w:b w:val="false"/>
          <w:bCs w:val="false"/>
          <w:i w:val="false"/>
          <w:iCs w:val="false"/>
          <w:color w:val="2C3E50"/>
          <w:sz w:val="22"/>
          <w:szCs w:val="22"/>
        </w:rPr>
        <w:t xml:space="preserve"/>
      </w:r>
    </w:p>
    <w:p>
      <w:pPr>
        <w:spacing w:after="0" w:before="200"/>
        <w:jc w:val="right"/>
      </w:pPr>
      <w:r>
        <w:rPr>
          <w:rFonts w:ascii="Calibri" w:cs="Calibri" w:eastAsia="Calibri" w:hAnsi="Calibri"/>
          <w:b w:val="false"/>
          <w:bCs w:val="false"/>
          <w:i/>
          <w:iCs/>
          <w:color w:val="5A6C7D"/>
          <w:sz w:val="21"/>
          <w:szCs w:val="21"/>
        </w:rPr>
        <w:t xml:space="preserve">— Ewaen Okao, Project Lead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9D8F" w:sz="4" w:space="4"/>
      </w:pBdr>
      <w:jc w:val="center"/>
    </w:pPr>
    <w:r>
      <w:rPr>
        <w:rFonts w:ascii="Calibri" w:cs="Calibri" w:eastAsia="Calibri" w:hAnsi="Calibri"/>
        <w:b w:val="false"/>
        <w:bCs w:val="false"/>
        <w:i w:val="false"/>
        <w:iCs w:val="false"/>
        <w:color w:val="5A6C7D"/>
        <w:sz w:val="16"/>
        <w:szCs w:val="16"/>
      </w:rPr>
      <w:t xml:space="preserve">SGSL Engineering — Team Note    |    OAOC Three Branch Websites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color w:val="2A9D8F"/>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OAOC Three Branch Websites — Team Note</dc:title>
  <dc:creator>Seer Global Solutions Limited</dc:creator>
  <dc:description>Short internal note announcing the consolidated requirements register and the central portal commitment.</dc:description>
  <cp:lastModifiedBy>Un-named</cp:lastModifiedBy>
  <cp:revision>1</cp:revision>
  <dcterms:created xsi:type="dcterms:W3CDTF">2026-05-30T00:44:44.927Z</dcterms:created>
  <dcterms:modified xsi:type="dcterms:W3CDTF">2026-05-30T00:44:44.943Z</dcterms:modified>
</cp:coreProperties>
</file>

<file path=docProps/custom.xml><?xml version="1.0" encoding="utf-8"?>
<Properties xmlns="http://schemas.openxmlformats.org/officeDocument/2006/custom-properties" xmlns:vt="http://schemas.openxmlformats.org/officeDocument/2006/docPropsVTypes"/>
</file>