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rPr>
          <w:rFonts w:ascii="Calibri" w:cs="Calibri" w:eastAsia="Calibri" w:hAnsi="Calibri"/>
          <w:b w:val="false"/>
          <w:bCs w:val="false"/>
          <w:i w:val="false"/>
          <w:iCs w:val="false"/>
          <w:color w:val="2C3E50"/>
          <w:sz w:val="22"/>
          <w:szCs w:val="22"/>
        </w:rPr>
        <w:t xml:space="preserve"/>
      </w:r>
    </w:p>
    <w:p>
      <w:pPr>
        <w:spacing w:after="80" w:before="80" w:line="320"/>
        <w:jc w:val="center"/>
      </w:pPr>
      <w:r>
        <w:rPr>
          <w:rFonts w:ascii="Calibri" w:cs="Calibri" w:eastAsia="Calibri" w:hAnsi="Calibri"/>
          <w:b/>
          <w:bCs/>
          <w:i w:val="false"/>
          <w:iCs w:val="false"/>
          <w:color w:val="5A6C7D"/>
          <w:sz w:val="20"/>
          <w:szCs w:val="20"/>
        </w:rPr>
        <w:t xml:space="preserve">SEER GLOBAL SOLUTIONS LIMITED</w:t>
      </w:r>
    </w:p>
    <w:p>
      <w:pPr>
        <w:spacing w:after="680" w:before="0"/>
        <w:jc w:val="center"/>
      </w:pPr>
      <w:r>
        <w:rPr>
          <w:rFonts w:ascii="Calibri" w:cs="Calibri" w:eastAsia="Calibri" w:hAnsi="Calibri"/>
          <w:b w:val="false"/>
          <w:bCs w:val="false"/>
          <w:i/>
          <w:iCs/>
          <w:color w:val="5A6C7D"/>
          <w:sz w:val="18"/>
          <w:szCs w:val="18"/>
        </w:rPr>
        <w:t xml:space="preserve">Internal Requirements Document</w:t>
      </w:r>
    </w:p>
    <w:p>
      <w:pPr>
        <w:spacing w:after="140" w:before="0"/>
        <w:jc w:val="center"/>
      </w:pPr>
      <w:r>
        <w:rPr>
          <w:rFonts w:ascii="Calibri" w:cs="Calibri" w:eastAsia="Calibri" w:hAnsi="Calibri"/>
          <w:b w:val="false"/>
          <w:bCs w:val="false"/>
          <w:i w:val="false"/>
          <w:iCs w:val="false"/>
          <w:color w:val="2A9D8F"/>
          <w:sz w:val="30"/>
          <w:szCs w:val="30"/>
        </w:rPr>
        <w:t xml:space="preserve">Consolidated Requirements</w:t>
      </w:r>
    </w:p>
    <w:p>
      <w:pPr>
        <w:spacing w:after="80" w:before="80" w:line="320"/>
        <w:jc w:val="center"/>
      </w:pPr>
      <w:r>
        <w:rPr>
          <w:rFonts w:ascii="Calibri" w:cs="Calibri" w:eastAsia="Calibri" w:hAnsi="Calibri"/>
          <w:b/>
          <w:bCs/>
          <w:i w:val="false"/>
          <w:iCs w:val="false"/>
          <w:color w:val="0B1F33"/>
          <w:sz w:val="48"/>
          <w:szCs w:val="48"/>
        </w:rPr>
        <w:t xml:space="preserve">OAOC Three Branch</w:t>
      </w:r>
    </w:p>
    <w:p>
      <w:pPr>
        <w:spacing w:after="180" w:before="0"/>
        <w:jc w:val="center"/>
      </w:pPr>
      <w:r>
        <w:rPr>
          <w:rFonts w:ascii="Calibri" w:cs="Calibri" w:eastAsia="Calibri" w:hAnsi="Calibri"/>
          <w:b/>
          <w:bCs/>
          <w:i w:val="false"/>
          <w:iCs w:val="false"/>
          <w:color w:val="2A9D8F"/>
          <w:sz w:val="48"/>
          <w:szCs w:val="48"/>
        </w:rPr>
        <w:t xml:space="preserve">Websites</w:t>
      </w:r>
    </w:p>
    <w:p>
      <w:pPr>
        <w:spacing w:after="540" w:before="0"/>
        <w:jc w:val="center"/>
      </w:pPr>
      <w:r>
        <w:rPr>
          <w:rFonts w:ascii="Calibri" w:cs="Calibri" w:eastAsia="Calibri" w:hAnsi="Calibri"/>
          <w:b w:val="false"/>
          <w:bCs w:val="false"/>
          <w:i/>
          <w:iCs/>
          <w:color w:val="5A6C7D"/>
          <w:sz w:val="22"/>
          <w:szCs w:val="22"/>
        </w:rPr>
        <w:t xml:space="preserve">Synthesized from two stakeholder meetings,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20"/>
                <w:szCs w:val="20"/>
              </w:rPr>
              <w:t xml:space="preserve">Source meeting 1</w:t>
            </w:r>
          </w:p>
        </w:tc>
        <w:tc>
          <w:tcPr>
            <w:tcW w:type="dxa" w:w="468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20"/>
                <w:szCs w:val="20"/>
              </w:rPr>
              <w:t xml:space="preserve">Source meeting 2</w:t>
            </w:r>
          </w:p>
        </w:tc>
      </w:tr>
      <w:tr>
        <w:tc>
          <w:tcPr>
            <w:tcW w:type="dxa" w:w="468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Marketing kickoff</w:t>
            </w:r>
          </w:p>
        </w:tc>
        <w:tc>
          <w:tcPr>
            <w:tcW w:type="dxa" w:w="468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Founder review</w:t>
            </w:r>
          </w:p>
        </w:tc>
      </w:tr>
      <w:tr>
        <w:tc>
          <w:tcPr>
            <w:tcW w:type="dxa" w:w="468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Brett Colbo (marketing lead)</w:t>
            </w:r>
          </w:p>
        </w:tc>
        <w:tc>
          <w:tcPr>
            <w:tcW w:type="dxa" w:w="468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Dr. Arinola Dada</w:t>
            </w:r>
          </w:p>
        </w:tc>
      </w:tr>
      <w:tr>
        <w:tc>
          <w:tcPr>
            <w:tcW w:type="dxa" w:w="468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Jona (Dr. Dada’s executive assistant)</w:t>
            </w:r>
          </w:p>
        </w:tc>
        <w:tc>
          <w:tcPr>
            <w:tcW w:type="dxa" w:w="468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Ewaen Okao</w:t>
            </w:r>
          </w:p>
        </w:tc>
      </w:tr>
      <w:tr>
        <w:tc>
          <w:tcPr>
            <w:tcW w:type="dxa" w:w="468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Victor Olaitan (delivery lead)</w:t>
            </w:r>
          </w:p>
        </w:tc>
        <w:tc>
          <w:tcPr>
            <w:tcW w:type="dxa" w:w="468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
            </w:r>
          </w:p>
        </w:tc>
      </w:tr>
      <w:tr>
        <w:tc>
          <w:tcPr>
            <w:tcW w:type="dxa" w:w="468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Ewaen Okao</w:t>
            </w:r>
          </w:p>
        </w:tc>
        <w:tc>
          <w:tcPr>
            <w:tcW w:type="dxa" w:w="468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
            </w:r>
          </w:p>
        </w:tc>
      </w:tr>
    </w:tbl>
    <w:p>
      <w:pPr>
        <w:spacing w:after="160" w:before="160"/>
      </w:pPr>
      <w:r>
        <w:rPr>
          <w:rFonts w:ascii="Calibri" w:cs="Calibri" w:eastAsia="Calibri" w:hAnsi="Calibri"/>
          <w:b w:val="false"/>
          <w:bCs w:val="false"/>
          <w:i w:val="false"/>
          <w:iCs w:val="false"/>
          <w:color w:val="2C3E50"/>
          <w:sz w:val="22"/>
          <w:szCs w:val="22"/>
        </w:rPr>
        <w:t xml:space="preserve"/>
      </w:r>
    </w:p>
    <w:p>
      <w:pPr>
        <w:spacing w:after="40" w:before="40"/>
        <w:jc w:val="center"/>
      </w:pPr>
      <w:r>
        <w:rPr>
          <w:rFonts w:ascii="Calibri" w:cs="Calibri" w:eastAsia="Calibri" w:hAnsi="Calibri"/>
          <w:b/>
          <w:bCs/>
          <w:i w:val="false"/>
          <w:iCs w:val="false"/>
          <w:color w:val="0B1F33"/>
          <w:sz w:val="20"/>
          <w:szCs w:val="20"/>
        </w:rPr>
        <w:t xml:space="preserve">Internal reference:  </w:t>
      </w:r>
      <w:r>
        <w:rPr>
          <w:rFonts w:ascii="Calibri" w:cs="Calibri" w:eastAsia="Calibri" w:hAnsi="Calibri"/>
          <w:b w:val="false"/>
          <w:bCs w:val="false"/>
          <w:i w:val="false"/>
          <w:iCs w:val="false"/>
          <w:color w:val="2C3E50"/>
          <w:sz w:val="20"/>
          <w:szCs w:val="20"/>
        </w:rPr>
        <w:t xml:space="preserve">SGSL-REQ-2026-016</w:t>
      </w:r>
    </w:p>
    <w:p>
      <w:pPr>
        <w:spacing w:after="40" w:before="0"/>
        <w:jc w:val="center"/>
      </w:pPr>
      <w:r>
        <w:rPr>
          <w:rFonts w:ascii="Calibri" w:cs="Calibri" w:eastAsia="Calibri" w:hAnsi="Calibri"/>
          <w:b/>
          <w:bCs/>
          <w:i w:val="false"/>
          <w:iCs w:val="false"/>
          <w:color w:val="0B1F33"/>
          <w:sz w:val="20"/>
          <w:szCs w:val="20"/>
        </w:rPr>
        <w:t xml:space="preserve">Related documents:  </w:t>
      </w:r>
      <w:r>
        <w:rPr>
          <w:rFonts w:ascii="Calibri" w:cs="Calibri" w:eastAsia="Calibri" w:hAnsi="Calibri"/>
          <w:b w:val="false"/>
          <w:bCs w:val="false"/>
          <w:i w:val="false"/>
          <w:iCs w:val="false"/>
          <w:color w:val="2C3E50"/>
          <w:sz w:val="20"/>
          <w:szCs w:val="20"/>
        </w:rPr>
        <w:t xml:space="preserve">SGSL-PROP-2026-016, SGSL-DEV-2026-016</w:t>
      </w:r>
    </w:p>
    <w:p>
      <w:pPr>
        <w:spacing w:after="0" w:before="0"/>
        <w:jc w:val="center"/>
      </w:pPr>
      <w:r>
        <w:rPr>
          <w:rFonts w:ascii="Calibri" w:cs="Calibri" w:eastAsia="Calibri" w:hAnsi="Calibri"/>
          <w:b/>
          <w:bCs/>
          <w:i w:val="false"/>
          <w:iCs w:val="false"/>
          <w:color w:val="0B1F33"/>
          <w:sz w:val="20"/>
          <w:szCs w:val="20"/>
        </w:rPr>
        <w:t xml:space="preserve">Issued:  </w:t>
      </w:r>
      <w:r>
        <w:rPr>
          <w:rFonts w:ascii="Calibri" w:cs="Calibri" w:eastAsia="Calibri" w:hAnsi="Calibri"/>
          <w:b w:val="false"/>
          <w:bCs w:val="false"/>
          <w:i w:val="false"/>
          <w:iCs w:val="false"/>
          <w:color w:val="2C3E50"/>
          <w:sz w:val="20"/>
          <w:szCs w:val="20"/>
        </w:rPr>
        <w:t xml:space="preserve">May 2026</w:t>
      </w:r>
    </w:p>
    <w:p>
      <w:r>
        <w:br w:type="page"/>
      </w:r>
    </w:p>
    <w:p>
      <w:pPr>
        <w:spacing w:after="100" w:before="320"/>
      </w:pPr>
      <w:r>
        <w:rPr>
          <w:rFonts w:ascii="Calibri" w:cs="Calibri" w:eastAsia="Calibri" w:hAnsi="Calibri"/>
          <w:b/>
          <w:bCs/>
          <w:i w:val="false"/>
          <w:iCs w:val="false"/>
          <w:color w:val="0B1F33"/>
          <w:sz w:val="34"/>
          <w:szCs w:val="34"/>
        </w:rPr>
        <w:t xml:space="preserve">About This Document</w:t>
      </w:r>
    </w:p>
    <w:p>
      <w:pPr>
        <w:spacing w:after="220" w:before="0"/>
      </w:pPr>
      <w:r>
        <w:rPr>
          <w:rFonts w:ascii="Calibri" w:cs="Calibri" w:eastAsia="Calibri" w:hAnsi="Calibri"/>
          <w:b w:val="false"/>
          <w:bCs w:val="false"/>
          <w:i/>
          <w:iCs/>
          <w:color w:val="2A9D8F"/>
          <w:sz w:val="23"/>
          <w:szCs w:val="23"/>
        </w:rPr>
        <w:t xml:space="preserve">What this is, and how to read it</w:t>
      </w:r>
    </w:p>
    <w:p>
      <w:pPr>
        <w:spacing w:after="160" w:before="80" w:line="340"/>
        <w:jc w:val="left"/>
      </w:pPr>
      <w:r>
        <w:rPr>
          <w:rFonts w:ascii="Calibri" w:cs="Calibri" w:eastAsia="Calibri" w:hAnsi="Calibri"/>
          <w:b w:val="false"/>
          <w:bCs w:val="false"/>
          <w:i w:val="false"/>
          <w:iCs w:val="false"/>
          <w:color w:val="2C3E50"/>
          <w:sz w:val="24"/>
          <w:szCs w:val="24"/>
        </w:rPr>
        <w:t xml:space="preserve">This document consolidates all website requirements gathered from the two stakeholder meetings held over the past 48 hours, into a single, prioritized list for the SGSL Web Development Team and the project lead.</w:t>
      </w:r>
    </w:p>
    <w:p>
      <w:pPr>
        <w:spacing w:after="80" w:before="300"/>
      </w:pPr>
      <w:r>
        <w:rPr>
          <w:rFonts w:ascii="Calibri" w:cs="Calibri" w:eastAsia="Calibri" w:hAnsi="Calibri"/>
          <w:b/>
          <w:bCs/>
          <w:i w:val="false"/>
          <w:iCs w:val="false"/>
          <w:color w:val="1B6F65"/>
          <w:sz w:val="18"/>
          <w:szCs w:val="18"/>
        </w:rPr>
        <w:t xml:space="preserve">WHAT EACH MEETING CONTRIBUTED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Meeting</w:t>
            </w:r>
          </w:p>
        </w:tc>
        <w:tc>
          <w:tcPr>
            <w:tcW w:type="dxa" w:w="70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Key contributions</w:t>
            </w:r>
          </w:p>
        </w:tc>
      </w:tr>
      <w:tr>
        <w:tc>
          <w:tcPr>
            <w:tcW w:type="dxa" w:w="23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Brett Colbo — Marketing kickoff</w:t>
            </w:r>
          </w:p>
        </w:tc>
        <w:tc>
          <w:tcPr>
            <w:tcW w:type="dxa" w:w="70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Brand and aesthetic direction; "hopeful, friendly, welcoming" tone; design avoid white space; logo treatment; multi-specialty language; local-and-trusted positioning; "how did you hear about us"; testimonials; HIPAA-compliant referral with consultation letters and records; Transfer of Care / Self-Referral option.</w:t>
            </w:r>
          </w:p>
        </w:tc>
      </w:tr>
      <w:tr>
        <w:tc>
          <w:tcPr>
            <w:tcW w:type="dxa" w:w="23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993C1D"/>
                <w:sz w:val="20"/>
                <w:szCs w:val="20"/>
              </w:rPr>
              <w:t xml:space="preserve">Dr. Dada — Founder review</w:t>
            </w:r>
          </w:p>
        </w:tc>
        <w:tc>
          <w:tcPr>
            <w:tcW w:type="dxa" w:w="70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Confirmation of every Brett point Ewaen surfaced; the central referring-physician portal vision; conditions named individually (not lumped); therapies grouped by specialty; full white-glove journey for patients and physicians; Google Reviews curation; ambience photography; "specialty infusion center" tone shift away from rheumatology-only.</w:t>
            </w:r>
          </w:p>
        </w:tc>
      </w:tr>
    </w:tbl>
    <w:p>
      <w:pPr>
        <w:spacing w:after="140" w:before="140"/>
      </w:pPr>
      <w:r>
        <w:rPr>
          <w:rFonts w:ascii="Calibri" w:cs="Calibri" w:eastAsia="Calibri" w:hAnsi="Calibri"/>
          <w:b w:val="false"/>
          <w:bCs w:val="false"/>
          <w:i w:val="false"/>
          <w:iCs w:val="false"/>
          <w:color w:val="2C3E50"/>
          <w:sz w:val="22"/>
          <w:szCs w:val="22"/>
        </w:rPr>
        <w:t xml:space="preserve"/>
      </w:r>
    </w:p>
    <w:p>
      <w:pPr>
        <w:spacing w:after="80" w:before="300"/>
      </w:pPr>
      <w:r>
        <w:rPr>
          <w:rFonts w:ascii="Calibri" w:cs="Calibri" w:eastAsia="Calibri" w:hAnsi="Calibri"/>
          <w:b/>
          <w:bCs/>
          <w:i w:val="false"/>
          <w:iCs w:val="false"/>
          <w:color w:val="1B6F65"/>
          <w:sz w:val="18"/>
          <w:szCs w:val="18"/>
        </w:rPr>
        <w:t xml:space="preserve">HOW REQUIREMENTS ARE PRIORITIZED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7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Definition</w:t>
            </w:r>
          </w:p>
        </w:tc>
      </w:tr>
      <w:tr>
        <w:tc>
          <w:tcPr>
            <w:tcW w:type="dxa" w:w="15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993C1D"/>
                <w:sz w:val="20"/>
                <w:szCs w:val="20"/>
              </w:rPr>
              <w:t xml:space="preserve">Must</w:t>
            </w:r>
          </w:p>
        </w:tc>
        <w:tc>
          <w:tcPr>
            <w:tcW w:type="dxa" w:w="7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Non-negotiable for launch — every site (or every infusion site, where so specified) must have this. Stated and agreed in the meetings.</w:t>
            </w:r>
          </w:p>
        </w:tc>
      </w:tr>
      <w:tr>
        <w:tc>
          <w:tcPr>
            <w:tcW w:type="dxa" w:w="15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Should</w:t>
            </w:r>
          </w:p>
        </w:tc>
        <w:tc>
          <w:tcPr>
            <w:tcW w:type="dxa" w:w="7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Strongly desired, agreed in principle, scoped within the engagement; build in unless a hard blocker emerges.</w:t>
            </w:r>
          </w:p>
        </w:tc>
      </w:tr>
      <w:tr>
        <w:tc>
          <w:tcPr>
            <w:tcW w:type="dxa" w:w="15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5A6C7D"/>
                <w:sz w:val="20"/>
                <w:szCs w:val="20"/>
              </w:rPr>
              <w:t xml:space="preserve">Nice</w:t>
            </w:r>
          </w:p>
        </w:tc>
        <w:tc>
          <w:tcPr>
            <w:tcW w:type="dxa" w:w="7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Discussed positively but treated as enhancements that can defer if scope pressure requires — the project lead decides at design sign-off.</w:t>
            </w:r>
          </w:p>
        </w:tc>
      </w:tr>
    </w:tbl>
    <w:p>
      <w:pPr>
        <w:spacing w:after="140" w:before="140"/>
      </w:pPr>
      <w:r>
        <w:rPr>
          <w:rFonts w:ascii="Calibri" w:cs="Calibri" w:eastAsia="Calibri" w:hAnsi="Calibri"/>
          <w:b w:val="false"/>
          <w:bCs w:val="false"/>
          <w:i w:val="false"/>
          <w:iCs w:val="false"/>
          <w:color w:val="2C3E50"/>
          <w:sz w:val="22"/>
          <w:szCs w:val="22"/>
        </w:rPr>
        <w:t xml:space="preserve"/>
      </w:r>
    </w:p>
    <w:p>
      <w:pPr>
        <w:spacing w:after="80" w:before="300"/>
      </w:pPr>
      <w:r>
        <w:rPr>
          <w:rFonts w:ascii="Calibri" w:cs="Calibri" w:eastAsia="Calibri" w:hAnsi="Calibri"/>
          <w:b/>
          <w:bCs/>
          <w:i w:val="false"/>
          <w:iCs w:val="false"/>
          <w:color w:val="1B6F65"/>
          <w:sz w:val="18"/>
          <w:szCs w:val="18"/>
        </w:rPr>
        <w:t xml:space="preserve">HOW TO READ THE SOURCE COLUMN</w:t>
      </w:r>
    </w:p>
    <w:p>
      <w:pPr>
        <w:pStyle w:val="ListParagraph"/>
        <w:numPr>
          <w:ilvl w:val="0"/>
          <w:numId w:val="2"/>
        </w:numPr>
        <w:spacing w:after="56" w:before="56" w:line="304"/>
      </w:pPr>
      <w:r>
        <w:rPr>
          <w:rFonts w:ascii="Calibri" w:cs="Calibri" w:eastAsia="Calibri" w:hAnsi="Calibri"/>
          <w:b w:val="false"/>
          <w:bCs w:val="false"/>
          <w:i w:val="false"/>
          <w:iCs w:val="false"/>
          <w:color w:val="2C3E50"/>
          <w:sz w:val="22"/>
          <w:szCs w:val="22"/>
        </w:rPr>
        <w:t xml:space="preserve">Brett mtg — raised in the marketing kickoff meeting with Brett, Jona, Victor, and Ewaen.</w:t>
      </w:r>
    </w:p>
    <w:p>
      <w:pPr>
        <w:pStyle w:val="ListParagraph"/>
        <w:numPr>
          <w:ilvl w:val="0"/>
          <w:numId w:val="2"/>
        </w:numPr>
        <w:spacing w:after="56" w:before="56" w:line="304"/>
      </w:pPr>
      <w:r>
        <w:rPr>
          <w:rFonts w:ascii="Calibri" w:cs="Calibri" w:eastAsia="Calibri" w:hAnsi="Calibri"/>
          <w:b w:val="false"/>
          <w:bCs w:val="false"/>
          <w:i w:val="false"/>
          <w:iCs w:val="false"/>
          <w:color w:val="2C3E50"/>
          <w:sz w:val="22"/>
          <w:szCs w:val="22"/>
        </w:rPr>
        <w:t xml:space="preserve">Dada mtg — raised in the follow-up meeting between Dr. Dada and Ewaen.</w:t>
      </w:r>
    </w:p>
    <w:p>
      <w:pPr>
        <w:pStyle w:val="ListParagraph"/>
        <w:numPr>
          <w:ilvl w:val="0"/>
          <w:numId w:val="2"/>
        </w:numPr>
        <w:spacing w:after="56" w:before="56" w:line="304"/>
      </w:pPr>
      <w:r>
        <w:rPr>
          <w:rFonts w:ascii="Calibri" w:cs="Calibri" w:eastAsia="Calibri" w:hAnsi="Calibri"/>
          <w:b w:val="false"/>
          <w:bCs w:val="false"/>
          <w:i w:val="false"/>
          <w:iCs w:val="false"/>
          <w:color w:val="2C3E50"/>
          <w:sz w:val="22"/>
          <w:szCs w:val="22"/>
        </w:rPr>
        <w:t xml:space="preserve">Both mtgs — raised by Brett, then explicitly confirmed and elaborated by Dr. Dada. These are the strongest items — two independent stakeholders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8"/>
              <w:left w:val="single" w:color="1D3557" w:sz="24"/>
              <w:bottom w:val="single" w:color="1D3557" w:sz="8"/>
              <w:right w:val="single" w:color="D5DEE8" w:sz="4"/>
            </w:tcBorders>
            <w:shd w:fill="F2F5F8" w:val="clear"/>
            <w:tcMar>
              <w:top w:type="dxa" w:w="200"/>
              <w:left w:type="dxa" w:w="260"/>
              <w:bottom w:type="dxa" w:w="200"/>
              <w:right w:type="dxa" w:w="260"/>
            </w:tcMar>
          </w:tcPr>
          <w:p>
            <w:pPr>
              <w:spacing w:after="70" w:before="0"/>
              <w:jc w:val="left"/>
            </w:pPr>
            <w:r>
              <w:rPr>
                <w:rFonts w:ascii="Calibri" w:cs="Calibri" w:eastAsia="Calibri" w:hAnsi="Calibri"/>
                <w:b/>
                <w:bCs/>
                <w:i w:val="false"/>
                <w:iCs w:val="false"/>
                <w:color w:val="0B1F33"/>
                <w:sz w:val="23"/>
                <w:szCs w:val="23"/>
              </w:rPr>
              <w:t xml:space="preserve">A note on the agreed-comments rule</w:t>
            </w:r>
          </w:p>
          <w:p>
            <w:pPr>
              <w:spacing w:after="0" w:before="40" w:line="320"/>
              <w:jc w:val="left"/>
            </w:pPr>
            <w:r>
              <w:rPr>
                <w:rFonts w:ascii="Calibri" w:cs="Calibri" w:eastAsia="Calibri" w:hAnsi="Calibri"/>
                <w:b w:val="false"/>
                <w:bCs w:val="false"/>
                <w:i w:val="false"/>
                <w:iCs w:val="false"/>
                <w:color w:val="2C3E50"/>
                <w:sz w:val="22"/>
                <w:szCs w:val="22"/>
              </w:rPr>
              <w:t xml:space="preserve">Per the project lead’s direction, the requirements list captures items where Ewaen’s comments in either meeting were agreed by the other stakeholders — not just one-sided observations. Several items below originated as Ewaen’s suggestion and were taken on by Brett, Victor, or Dr. Dada in the meeting; these carry through here as confirmed requirements.</w:t>
            </w:r>
          </w:p>
        </w:tc>
      </w:tr>
    </w:tbl>
    <w:p>
      <w:pPr>
        <w:spacing w:after="80" w:before="300"/>
      </w:pPr>
      <w:r>
        <w:rPr>
          <w:rFonts w:ascii="Calibri" w:cs="Calibri" w:eastAsia="Calibri" w:hAnsi="Calibri"/>
          <w:b/>
          <w:bCs/>
          <w:i w:val="false"/>
          <w:iCs w:val="false"/>
          <w:color w:val="1B6F65"/>
          <w:sz w:val="18"/>
          <w:szCs w:val="18"/>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50"/>
        <w:gridCol w:w="491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w:t>
            </w:r>
          </w:p>
        </w:tc>
        <w:tc>
          <w:tcPr>
            <w:tcW w:type="dxa" w:w="355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Section</w:t>
            </w:r>
          </w:p>
        </w:tc>
        <w:tc>
          <w:tcPr>
            <w:tcW w:type="dxa" w:w="491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Focus</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1</w:t>
            </w:r>
          </w:p>
        </w:tc>
        <w:tc>
          <w:tcPr>
            <w:tcW w:type="dxa" w:w="355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Tone, Aesthetic &amp; Brand Feel</w:t>
            </w:r>
          </w:p>
        </w:tc>
        <w:tc>
          <w:tcPr>
            <w:tcW w:type="dxa" w:w="491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look, the feel, the positioning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2</w:t>
            </w:r>
          </w:p>
        </w:tc>
        <w:tc>
          <w:tcPr>
            <w:tcW w:type="dxa" w:w="355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Audience &amp; Page Hierarchy</w:t>
            </w:r>
          </w:p>
        </w:tc>
        <w:tc>
          <w:tcPr>
            <w:tcW w:type="dxa" w:w="491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Patient vs physician balance; what is prominent</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3</w:t>
            </w:r>
          </w:p>
        </w:tc>
        <w:tc>
          <w:tcPr>
            <w:tcW w:type="dxa" w:w="355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Content &amp; Information Architecture</w:t>
            </w:r>
          </w:p>
        </w:tc>
        <w:tc>
          <w:tcPr>
            <w:tcW w:type="dxa" w:w="491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Conditions, therapies, specialties, structure</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4</w:t>
            </w:r>
          </w:p>
        </w:tc>
        <w:tc>
          <w:tcPr>
            <w:tcW w:type="dxa" w:w="355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The Patient Journey (For Patients)</w:t>
            </w:r>
          </w:p>
        </w:tc>
        <w:tc>
          <w:tcPr>
            <w:tcW w:type="dxa" w:w="491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three-stage journey patients see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5</w:t>
            </w:r>
          </w:p>
        </w:tc>
        <w:tc>
          <w:tcPr>
            <w:tcW w:type="dxa" w:w="355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The Physician Referral Journey</w:t>
            </w:r>
          </w:p>
        </w:tc>
        <w:tc>
          <w:tcPr>
            <w:tcW w:type="dxa" w:w="491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White-glove service for referring physicians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6</w:t>
            </w:r>
          </w:p>
        </w:tc>
        <w:tc>
          <w:tcPr>
            <w:tcW w:type="dxa" w:w="355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Central Referring-Physician Portal</w:t>
            </w:r>
          </w:p>
        </w:tc>
        <w:tc>
          <w:tcPr>
            <w:tcW w:type="dxa" w:w="491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Shared portal across all infusion sites</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7</w:t>
            </w:r>
          </w:p>
        </w:tc>
        <w:tc>
          <w:tcPr>
            <w:tcW w:type="dxa" w:w="355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Self-Referral / Transfer-of-Care Path</w:t>
            </w:r>
          </w:p>
        </w:tc>
        <w:tc>
          <w:tcPr>
            <w:tcW w:type="dxa" w:w="491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For patients already in mid-treatment</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8</w:t>
            </w:r>
          </w:p>
        </w:tc>
        <w:tc>
          <w:tcPr>
            <w:tcW w:type="dxa" w:w="355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Forms, GoHighLevel &amp; Attribution</w:t>
            </w:r>
          </w:p>
        </w:tc>
        <w:tc>
          <w:tcPr>
            <w:tcW w:type="dxa" w:w="491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How inquiries flow and what gets tracked</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9</w:t>
            </w:r>
          </w:p>
        </w:tc>
        <w:tc>
          <w:tcPr>
            <w:tcW w:type="dxa" w:w="355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Imagery, Logo &amp; Visual Treatment</w:t>
            </w:r>
          </w:p>
        </w:tc>
        <w:tc>
          <w:tcPr>
            <w:tcW w:type="dxa" w:w="491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Photos, logo, ambience, diversity</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10</w:t>
            </w:r>
          </w:p>
        </w:tc>
        <w:tc>
          <w:tcPr>
            <w:tcW w:type="dxa" w:w="355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Reviews, Testimonials &amp; Social Proof</w:t>
            </w:r>
          </w:p>
        </w:tc>
        <w:tc>
          <w:tcPr>
            <w:tcW w:type="dxa" w:w="491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Curated Google reviews and patient quotes</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11</w:t>
            </w:r>
          </w:p>
        </w:tc>
        <w:tc>
          <w:tcPr>
            <w:tcW w:type="dxa" w:w="355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Site-Specific Requirements</w:t>
            </w:r>
          </w:p>
        </w:tc>
        <w:tc>
          <w:tcPr>
            <w:tcW w:type="dxa" w:w="491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Per-site detail for Evergreen and the two infusion sites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1B6F65"/>
                <w:sz w:val="20"/>
                <w:szCs w:val="20"/>
              </w:rPr>
              <w:t xml:space="preserve">12</w:t>
            </w:r>
          </w:p>
        </w:tc>
        <w:tc>
          <w:tcPr>
            <w:tcW w:type="dxa" w:w="355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2C3E50"/>
                <w:sz w:val="20"/>
                <w:szCs w:val="20"/>
              </w:rPr>
              <w:t xml:space="preserve">Open Items &amp; Pending Inputs</w:t>
            </w:r>
          </w:p>
        </w:tc>
        <w:tc>
          <w:tcPr>
            <w:tcW w:type="dxa" w:w="491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What still needs to come from the client</w:t>
            </w:r>
          </w:p>
        </w:tc>
      </w:tr>
    </w:tbl>
    <w:p>
      <w:r>
        <w:br w:type="page"/>
      </w:r>
    </w:p>
    <w:p>
      <w:pPr>
        <w:spacing w:after="100" w:before="320"/>
      </w:pPr>
      <w:r>
        <w:rPr>
          <w:rFonts w:ascii="Calibri" w:cs="Calibri" w:eastAsia="Calibri" w:hAnsi="Calibri"/>
          <w:b/>
          <w:bCs/>
          <w:i w:val="false"/>
          <w:iCs w:val="false"/>
          <w:color w:val="0B1F33"/>
          <w:sz w:val="34"/>
          <w:szCs w:val="34"/>
        </w:rPr>
        <w:t xml:space="preserve">1 — Tone, Aesthetic &amp; Brand Feel</w:t>
      </w:r>
    </w:p>
    <w:p>
      <w:pPr>
        <w:spacing w:after="220" w:before="0"/>
      </w:pPr>
      <w:r>
        <w:rPr>
          <w:rFonts w:ascii="Calibri" w:cs="Calibri" w:eastAsia="Calibri" w:hAnsi="Calibri"/>
          <w:b w:val="false"/>
          <w:bCs w:val="false"/>
          <w:i/>
          <w:iCs/>
          <w:color w:val="2A9D8F"/>
          <w:sz w:val="23"/>
          <w:szCs w:val="23"/>
        </w:rPr>
        <w:t xml:space="preserve">The look, the feel, the positioning</w:t>
      </w:r>
    </w:p>
    <w:p>
      <w:pPr>
        <w:spacing w:after="160" w:before="80" w:line="340"/>
        <w:jc w:val="left"/>
      </w:pPr>
      <w:r>
        <w:rPr>
          <w:rFonts w:ascii="Calibri" w:cs="Calibri" w:eastAsia="Calibri" w:hAnsi="Calibri"/>
          <w:b w:val="false"/>
          <w:bCs w:val="false"/>
          <w:i w:val="false"/>
          <w:iCs w:val="false"/>
          <w:color w:val="2C3E50"/>
          <w:sz w:val="24"/>
          <w:szCs w:val="24"/>
        </w:rPr>
        <w:t xml:space="preserve">Both meetings converged strongly on the brand feel. The sites should feel hopeful and welcoming, not clinical or illness-focused, and they should present clearly as local, trusted, and differentiated from large national infusion franchises.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Tone: hopeful, friendly, welcoming — not illness-focused. Avoid clinical-cold imagery and language across all three sites.</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Calm, nice color palette confirmed acceptable on the current draft; the existing blue/teal direction is approved.</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Design must feel thoughtful and full — avoid empty white space by using subtle watermarks or background fills where appropriate.</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Brett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Positioning: emphasize "local and trusted." Differentiate clearly from large national infusion franchises in copy and imagery.</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Brett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Brand identity shifts from "rheumatology infusion center" to "specialty infusion center" — reflected in tone, language, and content structure on the infusion sites.</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R-1.6</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website should be welcoming enough that a patient browsing thinks "I want to be there if I am sick" — ambience and warmth come through visually.</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8"/>
              <w:left w:val="single" w:color="2A9D8F" w:sz="24"/>
              <w:bottom w:val="single" w:color="2A9D8F" w:sz="8"/>
              <w:right w:val="single" w:color="D5DEE8" w:sz="4"/>
            </w:tcBorders>
            <w:shd w:fill="E5F3F1" w:val="clear"/>
            <w:tcMar>
              <w:top w:type="dxa" w:w="200"/>
              <w:left w:type="dxa" w:w="260"/>
              <w:bottom w:type="dxa" w:w="200"/>
              <w:right w:type="dxa" w:w="260"/>
            </w:tcMar>
          </w:tcPr>
          <w:p>
            <w:pPr>
              <w:spacing w:after="70" w:before="0"/>
              <w:jc w:val="left"/>
            </w:pPr>
            <w:r>
              <w:rPr>
                <w:rFonts w:ascii="Calibri" w:cs="Calibri" w:eastAsia="Calibri" w:hAnsi="Calibri"/>
                <w:b/>
                <w:bCs/>
                <w:i w:val="false"/>
                <w:iCs w:val="false"/>
                <w:color w:val="1B6F65"/>
                <w:sz w:val="23"/>
                <w:szCs w:val="23"/>
              </w:rPr>
              <w:t xml:space="preserve">The three jobs the website must do</w:t>
            </w:r>
          </w:p>
          <w:p>
            <w:pPr>
              <w:spacing w:after="0" w:before="40" w:line="320"/>
              <w:jc w:val="left"/>
            </w:pPr>
            <w:r>
              <w:rPr>
                <w:rFonts w:ascii="Calibri" w:cs="Calibri" w:eastAsia="Calibri" w:hAnsi="Calibri"/>
                <w:b w:val="false"/>
                <w:bCs w:val="false"/>
                <w:i w:val="false"/>
                <w:iCs w:val="false"/>
                <w:color w:val="2C3E50"/>
                <w:sz w:val="22"/>
                <w:szCs w:val="22"/>
              </w:rPr>
              <w:t xml:space="preserve">Dr. Dada articulated three jobs in the second meeting. The sites must serve all three: (1) be the attractive "front of the house" — nice, capturing imagination; (2) provide the information patients and physicians need easily; and (3) be navigable — not making visitors hunt for the "easy button." All three test against the final design.</w:t>
            </w:r>
          </w:p>
        </w:tc>
      </w:tr>
    </w:tbl>
    <w:p>
      <w:r>
        <w:br w:type="page"/>
      </w:r>
    </w:p>
    <w:p>
      <w:pPr>
        <w:spacing w:after="100" w:before="320"/>
      </w:pPr>
      <w:r>
        <w:rPr>
          <w:rFonts w:ascii="Calibri" w:cs="Calibri" w:eastAsia="Calibri" w:hAnsi="Calibri"/>
          <w:b/>
          <w:bCs/>
          <w:i w:val="false"/>
          <w:iCs w:val="false"/>
          <w:color w:val="0B1F33"/>
          <w:sz w:val="34"/>
          <w:szCs w:val="34"/>
        </w:rPr>
        <w:t xml:space="preserve">2 — Audience &amp; Page Hierarchy</w:t>
      </w:r>
    </w:p>
    <w:p>
      <w:pPr>
        <w:spacing w:after="220" w:before="0"/>
      </w:pPr>
      <w:r>
        <w:rPr>
          <w:rFonts w:ascii="Calibri" w:cs="Calibri" w:eastAsia="Calibri" w:hAnsi="Calibri"/>
          <w:b w:val="false"/>
          <w:bCs w:val="false"/>
          <w:i/>
          <w:iCs/>
          <w:color w:val="2A9D8F"/>
          <w:sz w:val="23"/>
          <w:szCs w:val="23"/>
        </w:rPr>
        <w:t xml:space="preserve">Patient vs physician balance; what is prominent</w:t>
      </w:r>
    </w:p>
    <w:p>
      <w:pPr>
        <w:spacing w:after="160" w:before="80" w:line="340"/>
        <w:jc w:val="left"/>
      </w:pPr>
      <w:r>
        <w:rPr>
          <w:rFonts w:ascii="Calibri" w:cs="Calibri" w:eastAsia="Calibri" w:hAnsi="Calibri"/>
          <w:b w:val="false"/>
          <w:bCs w:val="false"/>
          <w:i w:val="false"/>
          <w:iCs w:val="false"/>
          <w:color w:val="2C3E50"/>
          <w:sz w:val="24"/>
          <w:szCs w:val="24"/>
        </w:rPr>
        <w:t xml:space="preserve">Dr. Dada’s strongest structural correction in the second meeting: the current draft over-indexes on referring physicians. Patients do most of the "perusing" because they are scared and want to know what the place is like, and the site needs to reflect that. Target balance: roughly 60% patient-facing, 40% physician-facing.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R-2.1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Patient-facing content should be more dominant than physician-facing content. Indicative balance: 60/40 patient/physician on the infusion sites.</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R-2.2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 dedicated For Patients area must include: conditions we treat, therapies we offer, what to expect, preparing for your visit, insurance, FAQs, and the patient journey.</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R-2.3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Therapies must be more prominent than they currently are in the draft. Patients arriving on the site want to know quickly: "Do you have my medicine?"</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R-2.4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 dedicated For Providers / For Referring Physicians area must remain prominent and separately structured — with its own physician-facing journey and the white-glove value proposition.</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R-2.5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On infusion site landing, after a patient clicks into the patient area, they should immediately see the specialties served — rheumatology, neurology / MS, gastroenterology, dermatology, oncology, ophthalmology, and others — not just a list of conditions.</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R-2.6</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Navigation must satisfy the "easy button" test: a visitor should never struggle to find what they came for. If a path requires hunting, redesign it.</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p>
      <w:r>
        <w:br w:type="page"/>
      </w:r>
    </w:p>
    <w:p>
      <w:pPr>
        <w:spacing w:after="100" w:before="320"/>
      </w:pPr>
      <w:r>
        <w:rPr>
          <w:rFonts w:ascii="Calibri" w:cs="Calibri" w:eastAsia="Calibri" w:hAnsi="Calibri"/>
          <w:b/>
          <w:bCs/>
          <w:i w:val="false"/>
          <w:iCs w:val="false"/>
          <w:color w:val="0B1F33"/>
          <w:sz w:val="34"/>
          <w:szCs w:val="34"/>
        </w:rPr>
        <w:t xml:space="preserve">3 — Content &amp; Information Architecture</w:t>
      </w:r>
    </w:p>
    <w:p>
      <w:pPr>
        <w:spacing w:after="220" w:before="0"/>
      </w:pPr>
      <w:r>
        <w:rPr>
          <w:rFonts w:ascii="Calibri" w:cs="Calibri" w:eastAsia="Calibri" w:hAnsi="Calibri"/>
          <w:b w:val="false"/>
          <w:bCs w:val="false"/>
          <w:i/>
          <w:iCs/>
          <w:color w:val="2A9D8F"/>
          <w:sz w:val="23"/>
          <w:szCs w:val="23"/>
        </w:rPr>
        <w:t xml:space="preserve">Conditions, therapies, specialties, structure</w:t>
      </w:r>
    </w:p>
    <w:p>
      <w:pPr>
        <w:spacing w:after="160" w:before="80" w:line="340"/>
        <w:jc w:val="left"/>
      </w:pPr>
      <w:r>
        <w:rPr>
          <w:rFonts w:ascii="Calibri" w:cs="Calibri" w:eastAsia="Calibri" w:hAnsi="Calibri"/>
          <w:b w:val="false"/>
          <w:bCs w:val="false"/>
          <w:i w:val="false"/>
          <w:iCs w:val="false"/>
          <w:color w:val="2C3E50"/>
          <w:sz w:val="24"/>
          <w:szCs w:val="24"/>
        </w:rPr>
        <w:t xml:space="preserve">Both meetings produced specific structural corrections to how content is organized. The two largest: conditions must be named individually (not lumped), and therapies must be grouped by the specialty that uses them.</w:t>
      </w:r>
    </w:p>
    <w:p>
      <w:pPr>
        <w:spacing w:after="80" w:before="300"/>
      </w:pPr>
      <w:r>
        <w:rPr>
          <w:rFonts w:ascii="Calibri" w:cs="Calibri" w:eastAsia="Calibri" w:hAnsi="Calibri"/>
          <w:b/>
          <w:bCs/>
          <w:i w:val="false"/>
          <w:iCs w:val="false"/>
          <w:color w:val="1B6F65"/>
          <w:sz w:val="18"/>
          <w:szCs w:val="18"/>
        </w:rPr>
        <w:t xml:space="preserve">CONDITIONS — NAME THEM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R-3.1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Do not use umbrella terms like "inflammatory arthritis" as a top-level heading on conditions pages — nobody searches for that. Name conditions individually: rheumatoid arthritis, ankylosing spondylitis, psoriatic arthritis, gout, lupus, vasculitis, polymyalgia rheumatica, giant cell arteritis, osteoporosis, and so on.</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R-3.2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Patients arrive having been told they have a specific condition (or a specific medicine for one) — the content must let them find that condition by name. Reflects how patients actually search.</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p>
      <w:pPr>
        <w:spacing w:after="80" w:before="300"/>
      </w:pPr>
      <w:r>
        <w:rPr>
          <w:rFonts w:ascii="Calibri" w:cs="Calibri" w:eastAsia="Calibri" w:hAnsi="Calibri"/>
          <w:b/>
          <w:bCs/>
          <w:i w:val="false"/>
          <w:iCs w:val="false"/>
          <w:color w:val="1B6F65"/>
          <w:sz w:val="18"/>
          <w:szCs w:val="18"/>
        </w:rPr>
        <w:t xml:space="preserve">THERAPIES — GROUP BY SPECIALTY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R-3.3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Therapies must be organized by the specialty that uses them — not as one undifferentiated medications list. A patient referred by their oncologist should see oncology-relevant therapies under that heading; a patient referred by their neurologist should see MS / neurology therapies under that heading; and so on.</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R-3.4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Some therapies legitimately appear under more than one specialty (biologics overlap across rheumatology, GI, dermatology). Show them under each relevant specialty rather than forcing a single placement.</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R-3.5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current medications list in the draft is short — import the more comprehensive list from the existing Overlake content (which has Mylariss, Illumia, Pemgarda, and others not yet on the new site).</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R-3.6</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Explicitly include IVIG and Krystexxa, which were specifically called out by Brett.</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R-3.7</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Language shift: replace "eight specialties" with "multi-specialties" so the structure does not lock the practice out of future growth.</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Brett mtg</w:t>
            </w:r>
          </w:p>
        </w:tc>
      </w:tr>
    </w:tbl>
    <w:p>
      <w:pPr>
        <w:spacing w:after="80" w:before="300"/>
      </w:pPr>
      <w:r>
        <w:rPr>
          <w:rFonts w:ascii="Calibri" w:cs="Calibri" w:eastAsia="Calibri" w:hAnsi="Calibri"/>
          <w:b/>
          <w:bCs/>
          <w:i w:val="false"/>
          <w:iCs w:val="false"/>
          <w:color w:val="1B6F65"/>
          <w:sz w:val="18"/>
          <w:szCs w:val="18"/>
        </w:rPr>
        <w:t xml:space="preserve">CONDITIONS / SPECIALTIES PAGES — COMBINED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R-3.8</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Restructure the top-level navigation entry from "Conditions" to something closer to "Specialties and Conditions" — reflecting the specialty-led organization while still letting patients find their named condition.</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R-3.9</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 patient arriving on the site should be able to recognize within seconds: "Yes, this place treats my specialty and has my therapy." This is the test the IA must pass.</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bl>
    <w:p>
      <w:r>
        <w:br w:type="page"/>
      </w:r>
    </w:p>
    <w:p>
      <w:pPr>
        <w:spacing w:after="100" w:before="320"/>
      </w:pPr>
      <w:r>
        <w:rPr>
          <w:rFonts w:ascii="Calibri" w:cs="Calibri" w:eastAsia="Calibri" w:hAnsi="Calibri"/>
          <w:b/>
          <w:bCs/>
          <w:i w:val="false"/>
          <w:iCs w:val="false"/>
          <w:color w:val="0B1F33"/>
          <w:sz w:val="34"/>
          <w:szCs w:val="34"/>
        </w:rPr>
        <w:t xml:space="preserve">4 — The Patient Journey</w:t>
      </w:r>
    </w:p>
    <w:p>
      <w:pPr>
        <w:spacing w:after="220" w:before="0"/>
      </w:pPr>
      <w:r>
        <w:rPr>
          <w:rFonts w:ascii="Calibri" w:cs="Calibri" w:eastAsia="Calibri" w:hAnsi="Calibri"/>
          <w:b w:val="false"/>
          <w:bCs w:val="false"/>
          <w:i/>
          <w:iCs/>
          <w:color w:val="2A9D8F"/>
          <w:sz w:val="23"/>
          <w:szCs w:val="23"/>
        </w:rPr>
        <w:t xml:space="preserve">The three-stage journey patients see</w:t>
      </w:r>
    </w:p>
    <w:p>
      <w:pPr>
        <w:spacing w:after="160" w:before="80" w:line="340"/>
        <w:jc w:val="left"/>
      </w:pPr>
      <w:r>
        <w:rPr>
          <w:rFonts w:ascii="Calibri" w:cs="Calibri" w:eastAsia="Calibri" w:hAnsi="Calibri"/>
          <w:b w:val="false"/>
          <w:bCs w:val="false"/>
          <w:i w:val="false"/>
          <w:iCs w:val="false"/>
          <w:color w:val="2C3E50"/>
          <w:sz w:val="24"/>
          <w:szCs w:val="24"/>
        </w:rPr>
        <w:t xml:space="preserve">Dr. Dada described the patient journey in detail in the second meeting and was emphatic that the website must present it as three clear stages. The current draft’s single-line "chronology of age" treatment was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5A30" w:sz="8"/>
              <w:left w:val="single" w:color="D85A30" w:sz="24"/>
              <w:bottom w:val="single" w:color="D85A30" w:sz="8"/>
              <w:right w:val="single" w:color="D5DEE8" w:sz="4"/>
            </w:tcBorders>
            <w:shd w:fill="FBEAE0" w:val="clear"/>
            <w:tcMar>
              <w:top w:type="dxa" w:w="200"/>
              <w:left w:type="dxa" w:w="260"/>
              <w:bottom w:type="dxa" w:w="200"/>
              <w:right w:type="dxa" w:w="260"/>
            </w:tcMar>
          </w:tcPr>
          <w:p>
            <w:pPr>
              <w:spacing w:after="70" w:before="0"/>
              <w:jc w:val="left"/>
            </w:pPr>
            <w:r>
              <w:rPr>
                <w:rFonts w:ascii="Calibri" w:cs="Calibri" w:eastAsia="Calibri" w:hAnsi="Calibri"/>
                <w:b/>
                <w:bCs/>
                <w:i w:val="false"/>
                <w:iCs w:val="false"/>
                <w:color w:val="993C1D"/>
                <w:sz w:val="23"/>
                <w:szCs w:val="23"/>
              </w:rPr>
              <w:t xml:space="preserve">The three stages — explicitly agreed</w:t>
            </w:r>
          </w:p>
          <w:p>
            <w:pPr>
              <w:spacing w:after="0" w:before="40" w:line="320"/>
              <w:jc w:val="left"/>
            </w:pPr>
            <w:r>
              <w:rPr>
                <w:rFonts w:ascii="Calibri" w:cs="Calibri" w:eastAsia="Calibri" w:hAnsi="Calibri"/>
                <w:b w:val="false"/>
                <w:bCs w:val="false"/>
                <w:i w:val="false"/>
                <w:iCs w:val="false"/>
                <w:color w:val="2C3E50"/>
                <w:sz w:val="22"/>
                <w:szCs w:val="22"/>
              </w:rPr>
              <w:t xml:space="preserve">The patient journey on the infusion sites must be broken into three named stages: Pre-Infusion, Infusion Day, and Post-Infusion Follow-Up. Patients must be clear about what happens at each stage. This was Dr. Dada’s direct correction — "break it down into stages" — to the current draft.</w:t>
            </w:r>
          </w:p>
        </w:tc>
      </w:tr>
    </w:tbl>
    <w:p>
      <w:pPr>
        <w:spacing w:after="120" w:before="120"/>
      </w:pPr>
      <w:r>
        <w:rPr>
          <w:rFonts w:ascii="Calibri" w:cs="Calibri" w:eastAsia="Calibri" w:hAnsi="Calibri"/>
          <w:b w:val="false"/>
          <w:bCs w:val="false"/>
          <w:i w:val="false"/>
          <w:iCs w:val="false"/>
          <w:color w:val="2C3E50"/>
          <w:sz w:val="22"/>
          <w:szCs w:val="22"/>
        </w:rPr>
        <w:t xml:space="preserve"/>
      </w:r>
    </w:p>
    <w:p>
      <w:pPr>
        <w:spacing w:after="80" w:before="300"/>
      </w:pPr>
      <w:r>
        <w:rPr>
          <w:rFonts w:ascii="Calibri" w:cs="Calibri" w:eastAsia="Calibri" w:hAnsi="Calibri"/>
          <w:b/>
          <w:bCs/>
          <w:i w:val="false"/>
          <w:iCs w:val="false"/>
          <w:color w:val="1B6F65"/>
          <w:sz w:val="18"/>
          <w:szCs w:val="18"/>
        </w:rPr>
        <w:t xml:space="preserve">PRE-INFUSION STAGE — WHAT THE SITE MUST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R-4.1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Stage starts when the referral is received from the patient’s referring physician. It does NOT start with "recognize symptoms" — that is the referring physician’s domain, not the infusion center’s.</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R-4.2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Stage shows, plainly: referral received and acknowledged; referral documents reviewed; benefits investigation begun; prior authorization started; the patient is called to acknowledge and intake-assessment is booked.</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R-4.3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pre-infusion nurse-practitioner visit happens AFTER prior authorization is confirmed (so the practice knows the medicine will be paid for before scheduling the visit). The site must reflect this sequencing accurately.</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R-4.4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NP pre-infusion visit serves two functions, both worth showing: (a) confirming clinical readiness so there is no allergic reaction risk; (b) re-confirming with the patient what their referring physician explained, in case they have forgotten between visits.</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R-4.5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Financial assistance work is part of the pre-infusion stage: co-pay assistance card sign-up, grants, pharma sponsorship — surfaced as a benefit the patient receives, not buried.</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p>
      <w:pPr>
        <w:spacing w:after="80" w:before="300"/>
      </w:pPr>
      <w:r>
        <w:rPr>
          <w:rFonts w:ascii="Calibri" w:cs="Calibri" w:eastAsia="Calibri" w:hAnsi="Calibri"/>
          <w:b/>
          <w:bCs/>
          <w:i w:val="false"/>
          <w:iCs w:val="false"/>
          <w:color w:val="1B6F65"/>
          <w:sz w:val="18"/>
          <w:szCs w:val="18"/>
        </w:rPr>
        <w:t xml:space="preserve">INFUSION DAY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R-4.6</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Show what a typical infusion day looks like: what the patient should bring, hydration ("drink plenty of water"), how long it takes, what the environment is like, who they will see.</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R-4.7</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Convey the ambience: relaxed patients in chairs reading, watching, on devices — not needles, not clinical-cold imagery.</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bl>
    <w:p>
      <w:pPr>
        <w:spacing w:after="80" w:before="300"/>
      </w:pPr>
      <w:r>
        <w:rPr>
          <w:rFonts w:ascii="Calibri" w:cs="Calibri" w:eastAsia="Calibri" w:hAnsi="Calibri"/>
          <w:b/>
          <w:bCs/>
          <w:i w:val="false"/>
          <w:iCs w:val="false"/>
          <w:color w:val="1B6F65"/>
          <w:sz w:val="18"/>
          <w:szCs w:val="18"/>
        </w:rPr>
        <w:t xml:space="preserve">POST-INFUSION FOLLOW-UP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R-4.8</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Free nurse check-in: a free nurse visit by phone on the day of, or day after, the infusion to check on patient wellbeing. Present this as part of what the patient receives.</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R-4.9</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Show the cycle: post-infusion follow-up loops back into the next pre-infusion preparation. Patients should understand it is a managed, repeating cycle, not a one-off.</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8"/>
              <w:left w:val="single" w:color="1D3557" w:sz="24"/>
              <w:bottom w:val="single" w:color="1D3557" w:sz="8"/>
              <w:right w:val="single" w:color="D5DEE8" w:sz="4"/>
            </w:tcBorders>
            <w:shd w:fill="F2F5F8" w:val="clear"/>
            <w:tcMar>
              <w:top w:type="dxa" w:w="200"/>
              <w:left w:type="dxa" w:w="260"/>
              <w:bottom w:type="dxa" w:w="200"/>
              <w:right w:type="dxa" w:w="260"/>
            </w:tcMar>
          </w:tcPr>
          <w:p>
            <w:pPr>
              <w:spacing w:after="70" w:before="0"/>
              <w:jc w:val="left"/>
            </w:pPr>
            <w:r>
              <w:rPr>
                <w:rFonts w:ascii="Calibri" w:cs="Calibri" w:eastAsia="Calibri" w:hAnsi="Calibri"/>
                <w:b/>
                <w:bCs/>
                <w:i w:val="false"/>
                <w:iCs w:val="false"/>
                <w:color w:val="0B1F33"/>
                <w:sz w:val="23"/>
                <w:szCs w:val="23"/>
              </w:rPr>
              <w:t xml:space="preserve">Why the staged journey matters</w:t>
            </w:r>
          </w:p>
          <w:p>
            <w:pPr>
              <w:spacing w:after="0" w:before="40" w:line="320"/>
              <w:jc w:val="left"/>
            </w:pPr>
            <w:r>
              <w:rPr>
                <w:rFonts w:ascii="Calibri" w:cs="Calibri" w:eastAsia="Calibri" w:hAnsi="Calibri"/>
                <w:b w:val="false"/>
                <w:bCs w:val="false"/>
                <w:i w:val="false"/>
                <w:iCs w:val="false"/>
                <w:color w:val="2C3E50"/>
                <w:sz w:val="22"/>
                <w:szCs w:val="22"/>
              </w:rPr>
              <w:t xml:space="preserve">Dr. Dada was direct about this from her own patient experience: "Sometimes everything is like a black box. Nobody knows what is going on." The staged journey on the website removes that black box. Build it as the structural backbone of the patient-facing experience on both infusion sites — not as a side detail.</w:t>
            </w:r>
          </w:p>
        </w:tc>
      </w:tr>
    </w:tbl>
    <w:p>
      <w:r>
        <w:br w:type="page"/>
      </w:r>
    </w:p>
    <w:p>
      <w:pPr>
        <w:spacing w:after="100" w:before="320"/>
      </w:pPr>
      <w:r>
        <w:rPr>
          <w:rFonts w:ascii="Calibri" w:cs="Calibri" w:eastAsia="Calibri" w:hAnsi="Calibri"/>
          <w:b/>
          <w:bCs/>
          <w:i w:val="false"/>
          <w:iCs w:val="false"/>
          <w:color w:val="0B1F33"/>
          <w:sz w:val="34"/>
          <w:szCs w:val="34"/>
        </w:rPr>
        <w:t xml:space="preserve">5 — The Physician Referral Journey</w:t>
      </w:r>
    </w:p>
    <w:p>
      <w:pPr>
        <w:spacing w:after="220" w:before="0"/>
      </w:pPr>
      <w:r>
        <w:rPr>
          <w:rFonts w:ascii="Calibri" w:cs="Calibri" w:eastAsia="Calibri" w:hAnsi="Calibri"/>
          <w:b w:val="false"/>
          <w:bCs w:val="false"/>
          <w:i/>
          <w:iCs/>
          <w:color w:val="2A9D8F"/>
          <w:sz w:val="23"/>
          <w:szCs w:val="23"/>
        </w:rPr>
        <w:t xml:space="preserve">White-glove service for referring physicians</w:t>
      </w:r>
    </w:p>
    <w:p>
      <w:pPr>
        <w:spacing w:after="160" w:before="80" w:line="340"/>
        <w:jc w:val="left"/>
      </w:pPr>
      <w:r>
        <w:rPr>
          <w:rFonts w:ascii="Calibri" w:cs="Calibri" w:eastAsia="Calibri" w:hAnsi="Calibri"/>
          <w:b w:val="false"/>
          <w:bCs w:val="false"/>
          <w:i w:val="false"/>
          <w:iCs w:val="false"/>
          <w:color w:val="2C3E50"/>
          <w:sz w:val="24"/>
          <w:szCs w:val="24"/>
        </w:rPr>
        <w:t xml:space="preserve">The physician-facing journey is the mirror of the patient journey. Dr. Dada agreed strongly with the "white-glove" framing for referring physicians — the practice takes administrative burden off the referring physician’s office and keeps them informed at every stage.</w:t>
      </w:r>
    </w:p>
    <w:p>
      <w:pPr>
        <w:spacing w:after="80" w:before="300"/>
      </w:pPr>
      <w:r>
        <w:rPr>
          <w:rFonts w:ascii="Calibri" w:cs="Calibri" w:eastAsia="Calibri" w:hAnsi="Calibri"/>
          <w:b/>
          <w:bCs/>
          <w:i w:val="false"/>
          <w:iCs w:val="false"/>
          <w:color w:val="1B6F65"/>
          <w:sz w:val="18"/>
          <w:szCs w:val="18"/>
        </w:rPr>
        <w:t xml:space="preserve">THE WHITE-GLOVE SERVICE — WHAT THE SITE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R-5.1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Position the offering to referring physicians explicitly as "white-glove consult service for your referred patients." Use this phrase prominently in the physician-facing content.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R-5.2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Articulate the white-glove components: the practice performs the prior authorization on the physician’s behalf; the patient gets an NP pre-infusion visit so any remaining questions about side effects are answered without the referring office being called; expert nurses; a provider always on site.</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R-5.3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Correct an existing copy line: the previous draft says "rheumatologist always on site." Change to "provider always on site" — a nurse practitioner or a doctor is on site, not necessarily a rheumatologist.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R-5.4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financial-burden-removal positioning (co-pay assistance, grants, pharma sponsorship) is a double-edged value: it appeals to both patients and referring physicians. Surface it on BOTH sides of the site — patient-facing and physician-facing.</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R-5.5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Frame why a physician should partner with the infusion center over alternatives — the "why us" copy that gives a referring physician a reason to choose this center over a competitor.</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p>
      <w:pPr>
        <w:spacing w:after="80" w:before="300"/>
      </w:pPr>
      <w:r>
        <w:rPr>
          <w:rFonts w:ascii="Calibri" w:cs="Calibri" w:eastAsia="Calibri" w:hAnsi="Calibri"/>
          <w:b/>
          <w:bCs/>
          <w:i w:val="false"/>
          <w:iCs w:val="false"/>
          <w:color w:val="1B6F65"/>
          <w:sz w:val="18"/>
          <w:szCs w:val="18"/>
        </w:rPr>
        <w:t xml:space="preserve">REFERRAL STATUS VISIBILITY — CLOSING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R-5.6</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After a referral is received, the referring physician must be acknowledged: the practice confirms receipt, that records have been reviewed, and that an intake appointment is being made.</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R-5.7</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referring physician is kept informed at every stage of their patient’s journey through the infusion center — not left wondering. Status updates may be in the portal, by email, or both.</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R-5.8</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 referral is considered "successfully closed" only when the patient has completed their first infusion. The referring physician is notified at that point.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R-5.9</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If there is any hiccup along the way — insurance issue, scheduling delay, clinical concern — the referring physician is informed at the point the issue arises, not after.</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p>
      <w:r>
        <w:br w:type="page"/>
      </w:r>
    </w:p>
    <w:p>
      <w:pPr>
        <w:spacing w:after="100" w:before="320"/>
      </w:pPr>
      <w:r>
        <w:rPr>
          <w:rFonts w:ascii="Calibri" w:cs="Calibri" w:eastAsia="Calibri" w:hAnsi="Calibri"/>
          <w:b/>
          <w:bCs/>
          <w:i w:val="false"/>
          <w:iCs w:val="false"/>
          <w:color w:val="0B1F33"/>
          <w:sz w:val="34"/>
          <w:szCs w:val="34"/>
        </w:rPr>
        <w:t xml:space="preserve">6 — Central Referring-Physician Portal</w:t>
      </w:r>
    </w:p>
    <w:p>
      <w:pPr>
        <w:spacing w:after="220" w:before="0"/>
      </w:pPr>
      <w:r>
        <w:rPr>
          <w:rFonts w:ascii="Calibri" w:cs="Calibri" w:eastAsia="Calibri" w:hAnsi="Calibri"/>
          <w:b w:val="false"/>
          <w:bCs w:val="false"/>
          <w:i/>
          <w:iCs/>
          <w:color w:val="2A9D8F"/>
          <w:sz w:val="23"/>
          <w:szCs w:val="23"/>
        </w:rPr>
        <w:t xml:space="preserve">Shared portal across all infusion sites</w:t>
      </w:r>
    </w:p>
    <w:p>
      <w:pPr>
        <w:spacing w:after="160" w:before="80" w:line="340"/>
        <w:jc w:val="left"/>
      </w:pPr>
      <w:r>
        <w:rPr>
          <w:rFonts w:ascii="Calibri" w:cs="Calibri" w:eastAsia="Calibri" w:hAnsi="Calibri"/>
          <w:b w:val="false"/>
          <w:bCs w:val="false"/>
          <w:i w:val="false"/>
          <w:iCs w:val="false"/>
          <w:color w:val="2C3E50"/>
          <w:sz w:val="24"/>
          <w:szCs w:val="24"/>
        </w:rPr>
        <w:t xml:space="preserve">A central architectural decision from the second meeting: the referring-physician portal is built once and shared across all current and future infusion sites — Kirkland, Bellevue, and any later locations. Dr. Dada and Ewaen and Victor are aligned on this. Reflected in the build spec for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R-6.1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 single central referring-physician portal serves all infusion sites — not one portal per site. The portal is reachable from each infusion site's "Refer a Patient" entry point.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R-6.2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portal must be a SECURE portal — HIPAA-aligned, authenticated. It is not an email-style channel. Submissions are posted to the portal, not emailed.</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R-6.3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Inside the portal, a referring physician can write a structured referral letter — referring patient X for condition Y, biologic-candidate status, medications previously tried — not just upload a file.</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R-6.4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portal must accept clinical document uploads alongside the referral letter — consultation letters, patient records, labs, imaging.</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R-6.5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Each submission carries the destination infusion site explicitly — Kirkland vs Bellevue — so practice staff can see at a glance "we got a new referral for Kirkland" or "we got a new referral for Bellevue."</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R-6.6</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On submission, the referral flows into GoHighLevel and is routed to the designated reviewer (the appropriate person sorting referrals) for that destination infusion site.</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R-6.7</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 referring physician can view status of referrals they have submitted — minimum, a submission confirmation; ideally a list of submitted referrals with their current status. (R-5.6 through R-5.9 specify what statuses must be reachable.)</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R-6.8</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Future-proof: the portal architecture must scale to additional infusion locations beyond Kirkland and Bellevue without rebuilding.</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8"/>
              <w:left w:val="single" w:color="1D3557" w:sz="24"/>
              <w:bottom w:val="single" w:color="1D3557" w:sz="8"/>
              <w:right w:val="single" w:color="D5DEE8" w:sz="4"/>
            </w:tcBorders>
            <w:shd w:fill="F2F5F8" w:val="clear"/>
            <w:tcMar>
              <w:top w:type="dxa" w:w="200"/>
              <w:left w:type="dxa" w:w="260"/>
              <w:bottom w:type="dxa" w:w="200"/>
              <w:right w:type="dxa" w:w="260"/>
            </w:tcMar>
          </w:tcPr>
          <w:p>
            <w:pPr>
              <w:spacing w:after="70" w:before="0"/>
              <w:jc w:val="left"/>
            </w:pPr>
            <w:r>
              <w:rPr>
                <w:rFonts w:ascii="Calibri" w:cs="Calibri" w:eastAsia="Calibri" w:hAnsi="Calibri"/>
                <w:b/>
                <w:bCs/>
                <w:i w:val="false"/>
                <w:iCs w:val="false"/>
                <w:color w:val="0B1F33"/>
                <w:sz w:val="23"/>
                <w:szCs w:val="23"/>
              </w:rPr>
              <w:t xml:space="preserve">Why central, not per-site</w:t>
            </w:r>
          </w:p>
          <w:p>
            <w:pPr>
              <w:spacing w:after="0" w:before="40" w:line="320"/>
              <w:jc w:val="left"/>
            </w:pPr>
            <w:r>
              <w:rPr>
                <w:rFonts w:ascii="Calibri" w:cs="Calibri" w:eastAsia="Calibri" w:hAnsi="Calibri"/>
                <w:b w:val="false"/>
                <w:bCs w:val="false"/>
                <w:i w:val="false"/>
                <w:iCs w:val="false"/>
                <w:color w:val="2C3E50"/>
                <w:sz w:val="22"/>
                <w:szCs w:val="22"/>
              </w:rPr>
              <w:t xml:space="preserve">A single referring physician may refer to more than one infusion location over time. Forcing them to create a separate account per site, or learn separate workflows, defeats the white-glove promise. One portal, one account, with destination-site selection on each referral, is the right architecture and was explicitly agreed in the second meeting.</w:t>
            </w:r>
          </w:p>
        </w:tc>
      </w:tr>
    </w:tbl>
    <w:p>
      <w:r>
        <w:br w:type="page"/>
      </w:r>
    </w:p>
    <w:p>
      <w:pPr>
        <w:spacing w:after="100" w:before="320"/>
      </w:pPr>
      <w:r>
        <w:rPr>
          <w:rFonts w:ascii="Calibri" w:cs="Calibri" w:eastAsia="Calibri" w:hAnsi="Calibri"/>
          <w:b/>
          <w:bCs/>
          <w:i w:val="false"/>
          <w:iCs w:val="false"/>
          <w:color w:val="0B1F33"/>
          <w:sz w:val="34"/>
          <w:szCs w:val="34"/>
        </w:rPr>
        <w:t xml:space="preserve">7 — Self-Referral / Transfer-of-Care Path</w:t>
      </w:r>
    </w:p>
    <w:p>
      <w:pPr>
        <w:spacing w:after="220" w:before="0"/>
      </w:pPr>
      <w:r>
        <w:rPr>
          <w:rFonts w:ascii="Calibri" w:cs="Calibri" w:eastAsia="Calibri" w:hAnsi="Calibri"/>
          <w:b w:val="false"/>
          <w:bCs w:val="false"/>
          <w:i/>
          <w:iCs/>
          <w:color w:val="2A9D8F"/>
          <w:sz w:val="23"/>
          <w:szCs w:val="23"/>
        </w:rPr>
        <w:t xml:space="preserve">For patients already in mid-treatment</w:t>
      </w:r>
    </w:p>
    <w:p>
      <w:pPr>
        <w:spacing w:after="160" w:before="80" w:line="340"/>
        <w:jc w:val="left"/>
      </w:pPr>
      <w:r>
        <w:rPr>
          <w:rFonts w:ascii="Calibri" w:cs="Calibri" w:eastAsia="Calibri" w:hAnsi="Calibri"/>
          <w:b w:val="false"/>
          <w:bCs w:val="false"/>
          <w:i w:val="false"/>
          <w:iCs w:val="false"/>
          <w:color w:val="2C3E50"/>
          <w:sz w:val="24"/>
          <w:szCs w:val="24"/>
        </w:rPr>
        <w:t xml:space="preserve">Brett raised this in the first meeting; Dr. Dada developed it in detail in the second. The site must accommodate patients who are already on infusion treatment elsewhere and want to transfer their care to this center — distinct from new-patient inquiries and from physician 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R-7.1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infusion sites must include a clear self-referral path for patients moving into the area or transferring care, who are already mid-treatment.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R-7.2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path should be VISIBLE — not buried inside a generic Contact Us. Dr. Dada’s direction: alongside "Refer a Patient" (physician path), expose a parallel CTA such as "Transfer My Treatment" or "Transition My Care" so patients in mid-treatment see it immediately.</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R-7.3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transfer-of-care form should capture: who the patient is, current condition, current medication and dose, where they are in their treatment cycle, when their next infusion is due, and contact details.</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R-7.4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On submission, the data flows into GoHighLevel with a clear tag distinguishing transfer-of-care from new-patient intake from general inquiry — so the receiving employee knows the patient is already in mid-treatment and time-sensitive.</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R-7.5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On receipt, the practice can swing into action quickly: insurance verification, transition of care, fast onboarding. The site should set that expectation explicitly with the patient submitting the form.</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R-7.6</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Contact Us is restructured with a dropdown menu offering: General Inquiry, Transfer / Transition My Care, and any other relevant categories — so a single Contact Us entry point routes to multiple intentions. Dr. Dada’s direction.</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p>
      <w:r>
        <w:br w:type="page"/>
      </w:r>
    </w:p>
    <w:p>
      <w:pPr>
        <w:spacing w:after="100" w:before="320"/>
      </w:pPr>
      <w:r>
        <w:rPr>
          <w:rFonts w:ascii="Calibri" w:cs="Calibri" w:eastAsia="Calibri" w:hAnsi="Calibri"/>
          <w:b/>
          <w:bCs/>
          <w:i w:val="false"/>
          <w:iCs w:val="false"/>
          <w:color w:val="0B1F33"/>
          <w:sz w:val="34"/>
          <w:szCs w:val="34"/>
        </w:rPr>
        <w:t xml:space="preserve">8 — Forms, GoHighLevel &amp; Attribution</w:t>
      </w:r>
    </w:p>
    <w:p>
      <w:pPr>
        <w:spacing w:after="220" w:before="0"/>
      </w:pPr>
      <w:r>
        <w:rPr>
          <w:rFonts w:ascii="Calibri" w:cs="Calibri" w:eastAsia="Calibri" w:hAnsi="Calibri"/>
          <w:b w:val="false"/>
          <w:bCs w:val="false"/>
          <w:i/>
          <w:iCs/>
          <w:color w:val="2A9D8F"/>
          <w:sz w:val="23"/>
          <w:szCs w:val="23"/>
        </w:rPr>
        <w:t xml:space="preserve">How inquiries flow, and what gets tracked</w:t>
      </w:r>
    </w:p>
    <w:p>
      <w:pPr>
        <w:spacing w:after="160" w:before="80" w:line="340"/>
        <w:jc w:val="left"/>
      </w:pPr>
      <w:r>
        <w:rPr>
          <w:rFonts w:ascii="Calibri" w:cs="Calibri" w:eastAsia="Calibri" w:hAnsi="Calibri"/>
          <w:b w:val="false"/>
          <w:bCs w:val="false"/>
          <w:i w:val="false"/>
          <w:iCs w:val="false"/>
          <w:color w:val="2C3E50"/>
          <w:sz w:val="24"/>
          <w:szCs w:val="24"/>
        </w:rPr>
        <w:t xml:space="preserve">Both meetings reinforced that GoHighLevel is the backend for every form on every site, and that marketing attribution must be captured from the very first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R-8.1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Every form on every site flows into the client’s GoHighLevel platform. No form bypasses it.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R-8.2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Form submissions must be tagged so the receiving employee can immediately distinguish source site (Kirkland vs Bellevue vs Evergreen), source form (intake, referral, transfer-of-care, contact), and intent.</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R-8.3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Routing to a named, designated employee per location — not a generic inbox — for intake, referral review, and transfer-of-care follow-up.</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R-8.4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 "How did you hear about us?" field on every intake form (and on the transfer-of-care form) so marketing effectiveness can be tracked. Brett raised it; Jona is implementing the field on intake forms.</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Brett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R-8.5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Capture the "how did you hear" answer at the website level too — not only at the in-clinic intake. Brett observed Dr. Sowemimo asking patients this question in clinic; the site should ask it too, so marketing-source attribution is captured at the earliest possible point.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R-8.6</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All patient-data forms are HIPAA-aligned per the build specification: HTTPS, no insecure storage, HIPAA notice and not-for-emergencies advisory, minimum-necessary fields.</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bl>
    <w:p>
      <w:r>
        <w:br w:type="page"/>
      </w:r>
    </w:p>
    <w:p>
      <w:pPr>
        <w:spacing w:after="100" w:before="320"/>
      </w:pPr>
      <w:r>
        <w:rPr>
          <w:rFonts w:ascii="Calibri" w:cs="Calibri" w:eastAsia="Calibri" w:hAnsi="Calibri"/>
          <w:b/>
          <w:bCs/>
          <w:i w:val="false"/>
          <w:iCs w:val="false"/>
          <w:color w:val="0B1F33"/>
          <w:sz w:val="34"/>
          <w:szCs w:val="34"/>
        </w:rPr>
        <w:t xml:space="preserve">9 — Imagery, Logo &amp; Visual Treatment</w:t>
      </w:r>
    </w:p>
    <w:p>
      <w:pPr>
        <w:spacing w:after="220" w:before="0"/>
      </w:pPr>
      <w:r>
        <w:rPr>
          <w:rFonts w:ascii="Calibri" w:cs="Calibri" w:eastAsia="Calibri" w:hAnsi="Calibri"/>
          <w:b w:val="false"/>
          <w:bCs w:val="false"/>
          <w:i/>
          <w:iCs/>
          <w:color w:val="2A9D8F"/>
          <w:sz w:val="23"/>
          <w:szCs w:val="23"/>
        </w:rPr>
        <w:t xml:space="preserve">Photos, logo, ambience, diversity</w:t>
      </w:r>
    </w:p>
    <w:p>
      <w:pPr>
        <w:spacing w:after="160" w:before="80" w:line="340"/>
        <w:jc w:val="left"/>
      </w:pPr>
      <w:r>
        <w:rPr>
          <w:rFonts w:ascii="Calibri" w:cs="Calibri" w:eastAsia="Calibri" w:hAnsi="Calibri"/>
          <w:b w:val="false"/>
          <w:bCs w:val="false"/>
          <w:i w:val="false"/>
          <w:iCs w:val="false"/>
          <w:color w:val="2C3E50"/>
          <w:sz w:val="24"/>
          <w:szCs w:val="24"/>
        </w:rPr>
        <w:t xml:space="preserve">Imagery received specific direction from both meetings. The current draft uses stock placeholders that need replacing with authentic, warm, locally-grounded photography — in line with the "local and trusted" positioning.</w:t>
      </w:r>
    </w:p>
    <w:p>
      <w:pPr>
        <w:spacing w:after="80" w:before="300"/>
      </w:pPr>
      <w:r>
        <w:rPr>
          <w:rFonts w:ascii="Calibri" w:cs="Calibri" w:eastAsia="Calibri" w:hAnsi="Calibri"/>
          <w:b/>
          <w:bCs/>
          <w:i w:val="false"/>
          <w:iCs w:val="false"/>
          <w:color w:val="1B6F65"/>
          <w:sz w:val="18"/>
          <w:szCs w:val="18"/>
        </w:rPr>
        <w:t xml:space="preserve">IMAGERY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R-9.1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Patient imagery: show relaxed patients in infusion chairs — reading a magazine, on a device, watching something. Not needles. Not clinical-cold poses. Dr. Dada was explicit about this.</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R-9.2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Diversity: photos must reflect the local Eastside population, which includes a large Indian community working at nearby tech employers including Microsoft and Nintendo, alongside other communities. Brett raised this; should be visibly carried through.</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Brett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R-9.3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 dedicated infusion-suite gallery: real photographs of the actual infusion suite once the Kirkland space is ready — patients want to envision themselves in the space before they visit.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R-9.4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Where possible, capture the location's natural setting — e.g., Kirkland's views, Mount Rainier where visible from the suite — to reinforce local feel.</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Brett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R-9.5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Until the real Kirkland suite is photographable (estimated one to two months out), use warm placeholder imagery consistent with R-9.1 and R-9.2 — not the current draft's stock images. Replace at launch or first major content refresh once real photography is available.</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R-9.6</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Ambience design: the site overall should make a visitor feel they’d be comfortable being treated there. Aim for a calm, zen feel rather than a busy or sterile clinical look.</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p>
      <w:pPr>
        <w:spacing w:after="80" w:before="300"/>
      </w:pPr>
      <w:r>
        <w:rPr>
          <w:rFonts w:ascii="Calibri" w:cs="Calibri" w:eastAsia="Calibri" w:hAnsi="Calibri"/>
          <w:b/>
          <w:bCs/>
          <w:i w:val="false"/>
          <w:iCs w:val="false"/>
          <w:color w:val="1B6F65"/>
          <w:sz w:val="18"/>
          <w:szCs w:val="18"/>
        </w:rPr>
        <w:t xml:space="preserve">LOGO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R-9.7</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infusion-bag logo currently used must be displayed LARGER on the page — the current treatment is too small. Brett raised; Dr. Dada confirmed.</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R-9.8</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Use the original high-resolution logos. Jona is supplying these.</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Brett mtg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B3F" w:sz="8"/>
              <w:left w:val="single" w:color="B08B3F" w:sz="24"/>
              <w:bottom w:val="single" w:color="B08B3F" w:sz="8"/>
              <w:right w:val="single" w:color="D5DEE8" w:sz="4"/>
            </w:tcBorders>
            <w:shd w:fill="FBF6EB" w:val="clear"/>
            <w:tcMar>
              <w:top w:type="dxa" w:w="200"/>
              <w:left w:type="dxa" w:w="260"/>
              <w:bottom w:type="dxa" w:w="200"/>
              <w:right w:type="dxa" w:w="260"/>
            </w:tcMar>
          </w:tcPr>
          <w:p>
            <w:pPr>
              <w:spacing w:after="70" w:before="0"/>
              <w:jc w:val="left"/>
            </w:pPr>
            <w:r>
              <w:rPr>
                <w:rFonts w:ascii="Calibri" w:cs="Calibri" w:eastAsia="Calibri" w:hAnsi="Calibri"/>
                <w:b/>
                <w:bCs/>
                <w:i w:val="false"/>
                <w:iCs w:val="false"/>
                <w:color w:val="6B4A1D"/>
                <w:sz w:val="23"/>
                <w:szCs w:val="23"/>
              </w:rPr>
              <w:t xml:space="preserve">On photography sourcing</w:t>
            </w:r>
          </w:p>
          <w:p>
            <w:pPr>
              <w:spacing w:after="0" w:before="40" w:line="320"/>
              <w:jc w:val="left"/>
            </w:pPr>
            <w:r>
              <w:rPr>
                <w:rFonts w:ascii="Calibri" w:cs="Calibri" w:eastAsia="Calibri" w:hAnsi="Calibri"/>
                <w:b w:val="false"/>
                <w:bCs w:val="false"/>
                <w:i w:val="false"/>
                <w:iCs w:val="false"/>
                <w:color w:val="2C3E50"/>
                <w:sz w:val="22"/>
                <w:szCs w:val="22"/>
              </w:rPr>
              <w:t xml:space="preserve">Jona is leading the search for approved stock photos and is the source for high-resolution logos. Dr. Dada also mentioned engaging Jokate — a stager who does interior design — to help with the physical infusion-suite design, with the intent that the suite itself, once photographed, becomes the site’s most powerful imagery asset. This is a content dependency, not a build blocker; surface the dependency to the project lead.</w:t>
            </w:r>
          </w:p>
        </w:tc>
      </w:tr>
    </w:tbl>
    <w:p>
      <w:r>
        <w:br w:type="page"/>
      </w:r>
    </w:p>
    <w:p>
      <w:pPr>
        <w:spacing w:after="100" w:before="320"/>
      </w:pPr>
      <w:r>
        <w:rPr>
          <w:rFonts w:ascii="Calibri" w:cs="Calibri" w:eastAsia="Calibri" w:hAnsi="Calibri"/>
          <w:b/>
          <w:bCs/>
          <w:i w:val="false"/>
          <w:iCs w:val="false"/>
          <w:color w:val="0B1F33"/>
          <w:sz w:val="34"/>
          <w:szCs w:val="34"/>
        </w:rPr>
        <w:t xml:space="preserve">10 — Reviews, Testimonials &amp; Social Proof</w:t>
      </w:r>
    </w:p>
    <w:p>
      <w:pPr>
        <w:spacing w:after="220" w:before="0"/>
      </w:pPr>
      <w:r>
        <w:rPr>
          <w:rFonts w:ascii="Calibri" w:cs="Calibri" w:eastAsia="Calibri" w:hAnsi="Calibri"/>
          <w:b w:val="false"/>
          <w:bCs w:val="false"/>
          <w:i/>
          <w:iCs/>
          <w:color w:val="2A9D8F"/>
          <w:sz w:val="23"/>
          <w:szCs w:val="23"/>
        </w:rPr>
        <w:t xml:space="preserve">Curated Google reviews and patient quotes</w:t>
      </w:r>
    </w:p>
    <w:p>
      <w:pPr>
        <w:spacing w:after="160" w:before="80" w:line="340"/>
        <w:jc w:val="left"/>
      </w:pPr>
      <w:r>
        <w:rPr>
          <w:rFonts w:ascii="Calibri" w:cs="Calibri" w:eastAsia="Calibri" w:hAnsi="Calibri"/>
          <w:b w:val="false"/>
          <w:bCs w:val="false"/>
          <w:i w:val="false"/>
          <w:iCs w:val="false"/>
          <w:color w:val="2C3E50"/>
          <w:sz w:val="24"/>
          <w:szCs w:val="24"/>
        </w:rPr>
        <w:t xml:space="preserve">Both meetings strongly endorsed social proof as a trust driver. Reviews are not generic — they are specifically curated from the practice’s existing Google reviews to highlight the infusion experience and the nursing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R-10.1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Curate Google reviews from the existing Overlake corpus (Dr. Dada noted the practice has 300+ reviews). Surface the ones that specifically mention the nurses and the infusion experience.</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R-10.2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Display reviews as text quotes with appropriate attribution — no need to photograph the reviewers. Jona is responsible for pulling and supplying the curated quote set.</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R-10.3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Both patient testimonials and physician testimonials are valuable. Patient ones come first — physicians typically do not write reviews. Patient quotes carry the social-proof weight.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R-10.4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Video testimonials should be incorporated as they become available (Dr. Dada referenced the approach used on the Lakeside Research site).</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R-10.5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On the post-launch operations side: the practice will adopt the practice of asking happy patients to write a review immediately after their consultation — capturing raw reviews while patients are in a positive state. The site should make leaving a review easy from any "thank you" or follow-up touchpoint.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p>
      <w:r>
        <w:br w:type="page"/>
      </w:r>
    </w:p>
    <w:p>
      <w:pPr>
        <w:spacing w:after="100" w:before="320"/>
      </w:pPr>
      <w:r>
        <w:rPr>
          <w:rFonts w:ascii="Calibri" w:cs="Calibri" w:eastAsia="Calibri" w:hAnsi="Calibri"/>
          <w:b/>
          <w:bCs/>
          <w:i w:val="false"/>
          <w:iCs w:val="false"/>
          <w:color w:val="0B1F33"/>
          <w:sz w:val="34"/>
          <w:szCs w:val="34"/>
        </w:rPr>
        <w:t xml:space="preserve">11 — Site-Specific Requirements</w:t>
      </w:r>
    </w:p>
    <w:p>
      <w:pPr>
        <w:spacing w:after="220" w:before="0"/>
      </w:pPr>
      <w:r>
        <w:rPr>
          <w:rFonts w:ascii="Calibri" w:cs="Calibri" w:eastAsia="Calibri" w:hAnsi="Calibri"/>
          <w:b w:val="false"/>
          <w:bCs w:val="false"/>
          <w:i/>
          <w:iCs/>
          <w:color w:val="2A9D8F"/>
          <w:sz w:val="23"/>
          <w:szCs w:val="23"/>
        </w:rPr>
        <w:t xml:space="preserve">Per-site detail beyond the shared requirements above</w:t>
      </w:r>
    </w:p>
    <w:p>
      <w:pPr>
        <w:spacing w:after="80" w:before="300"/>
      </w:pPr>
      <w:r>
        <w:rPr>
          <w:rFonts w:ascii="Calibri" w:cs="Calibri" w:eastAsia="Calibri" w:hAnsi="Calibri"/>
          <w:b/>
          <w:bCs/>
          <w:i w:val="false"/>
          <w:iCs w:val="false"/>
          <w:color w:val="1B6F65"/>
          <w:sz w:val="18"/>
          <w:szCs w:val="18"/>
        </w:rPr>
        <w:t xml:space="preserve">EVERGREEN RHEUMATOLOGY —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R-11.1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Built from the approved Evergreen website copy already developed by SGSL from Dr. Dada’s brochure. Use that copy as the page-by-page source of truth — do not rewrite it.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R-11.2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Pre-opening site behavior — "Opening August 2026" treatment, the October 2026 Physician Open House content, with a clean configuration toggle to switch to open-state at launch.</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R-11.3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All eight providers represented; the two August 2026 joiners (Dr. Usmani, Dr. Schluentz) flagged with the "Joining Aug 2026" treatment.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R-11.4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Conditions named individually (R-3.1 applies to the rheumatology site too — do not lump under "inflammatory arthritis").</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p>
      <w:pPr>
        <w:spacing w:after="80" w:before="300"/>
      </w:pPr>
      <w:r>
        <w:rPr>
          <w:rFonts w:ascii="Calibri" w:cs="Calibri" w:eastAsia="Calibri" w:hAnsi="Calibri"/>
          <w:b/>
          <w:bCs/>
          <w:i w:val="false"/>
          <w:iCs w:val="false"/>
          <w:color w:val="1B6F65"/>
          <w:sz w:val="18"/>
          <w:szCs w:val="18"/>
        </w:rPr>
        <w:t xml:space="preserve">KIRKLAND &amp; BELLEVUE SPECIALTY INFUSION CENTERS —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R-11.5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Both infusion sites built to the same shared specification — the funnel, the portal, the journeys, the IA. Build once, deploy twice (per the build specification).</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R-11.6</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The "Bellevue Specialty Infusion" carve-out from the existing Overlake Arthritis site: preserve the relevant infusion-center content from the current OAOC site (provider-care positioning, conditions content) where it serves the new structure — import medications and therapies from the existing list (R-3.5).</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R-11.7</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Each infusion site speaks to its own location — Kirkland or Bellevue — in copy, contact details, and imagery, while presenting consistently as branches of OAOC.</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R-11.8</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Address accuracy: the Kirkland Specialty Infusion Center address is 12911 120th Ave N.E., Suite C-80, Kirkland — distinct from Evergreen Rheumatology at 2911 120th Ave N.E., Suite A-50. Do not conflate.</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R-11.9</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Reference look-and-feel: similar in feel to the Lakeside Research Center website. The two infusion sites should evoke that same warmth and clarity.</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bl>
    <w:p>
      <w:r>
        <w:br w:type="page"/>
      </w:r>
    </w:p>
    <w:p>
      <w:pPr>
        <w:spacing w:after="100" w:before="320"/>
      </w:pPr>
      <w:r>
        <w:rPr>
          <w:rFonts w:ascii="Calibri" w:cs="Calibri" w:eastAsia="Calibri" w:hAnsi="Calibri"/>
          <w:b/>
          <w:bCs/>
          <w:i w:val="false"/>
          <w:iCs w:val="false"/>
          <w:color w:val="0B1F33"/>
          <w:sz w:val="34"/>
          <w:szCs w:val="34"/>
        </w:rPr>
        <w:t xml:space="preserve">12 — Open Items &amp; Pending Inputs</w:t>
      </w:r>
    </w:p>
    <w:p>
      <w:pPr>
        <w:spacing w:after="220" w:before="0"/>
      </w:pPr>
      <w:r>
        <w:rPr>
          <w:rFonts w:ascii="Calibri" w:cs="Calibri" w:eastAsia="Calibri" w:hAnsi="Calibri"/>
          <w:b w:val="false"/>
          <w:bCs w:val="false"/>
          <w:i/>
          <w:iCs/>
          <w:color w:val="2A9D8F"/>
          <w:sz w:val="23"/>
          <w:szCs w:val="23"/>
        </w:rPr>
        <w:t xml:space="preserve">What still needs to come from the client</w:t>
      </w:r>
    </w:p>
    <w:p>
      <w:pPr>
        <w:spacing w:after="160" w:before="80" w:line="340"/>
        <w:jc w:val="left"/>
      </w:pPr>
      <w:r>
        <w:rPr>
          <w:rFonts w:ascii="Calibri" w:cs="Calibri" w:eastAsia="Calibri" w:hAnsi="Calibri"/>
          <w:b w:val="false"/>
          <w:bCs w:val="false"/>
          <w:i w:val="false"/>
          <w:iCs w:val="false"/>
          <w:color w:val="2C3E50"/>
          <w:sz w:val="24"/>
          <w:szCs w:val="24"/>
        </w:rPr>
        <w:t xml:space="preserve">Several items were discussed in the meetings as needing input the client team is responsible for providing. These are not requirements on SGSL — they are dependencies SGSL must track and chase through the project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60"/>
        <w:gridCol w:w="1200"/>
        <w:gridCol w:w="1400"/>
      </w:tblGrid>
      <w:tr>
        <w:tc>
          <w:tcPr>
            <w:tcW w:type="dxa" w:w="9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ID</w:t>
            </w:r>
          </w:p>
        </w:tc>
        <w:tc>
          <w:tcPr>
            <w:tcW w:type="dxa" w:w="586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Requirement</w:t>
            </w:r>
          </w:p>
        </w:tc>
        <w:tc>
          <w:tcPr>
            <w:tcW w:type="dxa" w:w="12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Priority</w:t>
            </w:r>
          </w:p>
        </w:tc>
        <w:tc>
          <w:tcPr>
            <w:tcW w:type="dxa" w:w="1400"/>
            <w:tcBorders>
              <w:top w:val="single" w:color="D5DEE8" w:sz="4"/>
              <w:left w:val="single" w:color="D5DEE8" w:sz="4"/>
              <w:bottom w:val="single" w:color="D5DEE8" w:sz="4"/>
              <w:right w:val="single" w:color="D5DEE8" w:sz="4"/>
            </w:tcBorders>
            <w:shd w:fill="1D3557" w:val="clear"/>
            <w:tcMar>
              <w:top w:type="dxa" w:w="130"/>
              <w:left w:type="dxa" w:w="170"/>
              <w:bottom w:type="dxa" w:w="130"/>
              <w:right w:type="dxa" w:w="170"/>
            </w:tcMar>
            <w:vAlign w:val="center"/>
          </w:tcPr>
          <w:p>
            <w:pPr>
              <w:spacing w:after="0" w:before="0" w:line="276"/>
              <w:jc w:val="left"/>
            </w:pPr>
            <w:r>
              <w:rPr>
                <w:rFonts w:ascii="Calibri" w:cs="Calibri" w:eastAsia="Calibri" w:hAnsi="Calibri"/>
                <w:b/>
                <w:bCs/>
                <w:i w:val="false"/>
                <w:iCs w:val="false"/>
                <w:color w:val="FFFFFF"/>
                <w:sz w:val="19"/>
                <w:szCs w:val="19"/>
              </w:rPr>
              <w:t xml:space="preserve">Source</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High-resolution original logos for all three sites — Jona to supply.</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Brett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O-2</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Approved stock photography matching R-9.1 and R-9.2 — Jona is actively searching.</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Brett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O-3</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Real infusion-suite photography — to follow once the Kirkland space is fitted out (estimated one to two months).</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O-4</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Designated infusion-site employees for routing — named persons receiving intakes, transfer-of-care submissions, and referral reviews, per location.</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O-5</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GoHighLevel access and confirmed routing rules per submission type per location.</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O-6</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Curated Google review quote set highlighting nurses and infusion experience — Jona to extract from the 300+ existing reviews.</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O-7</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Confirmed list of specialties to feature on the infusion sites — Brett mentioned ophthalmology was missing from the draft, and additional specialties were referenced. Dr. Dada to confirm the full list.</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Both mtgs</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O-8</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Confirmed comprehensive medications and therapies list — import what is missing from the existing OAOC site (R-3.5) and reconcile with what the practice currently administers.</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993C1D"/>
                <w:sz w:val="20"/>
                <w:szCs w:val="20"/>
              </w:rPr>
              <w:t xml:space="preserve">Must</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O-9</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Final transfer-of-care form field list — to be reviewed with Dr. Dada or her clinical lead before build.</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1B6F65"/>
                <w:sz w:val="20"/>
                <w:szCs w:val="20"/>
              </w:rPr>
              <w:t xml:space="preserve">Should</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O-10</w:t>
            </w:r>
          </w:p>
        </w:tc>
        <w:tc>
          <w:tcPr>
            <w:tcW w:type="dxa" w:w="586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Brand asset confirmation for the physical infusion suite — if Jokate is engaged on the suite design, capture brand cues from her work to keep the website and the physical space visually consistent.</w:t>
            </w:r>
          </w:p>
        </w:tc>
        <w:tc>
          <w:tcPr>
            <w:tcW w:type="dxa" w:w="12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5A6C7D"/>
                <w:sz w:val="20"/>
                <w:szCs w:val="20"/>
              </w:rPr>
              <w:t xml:space="preserve">Nice</w:t>
            </w:r>
          </w:p>
        </w:tc>
        <w:tc>
          <w:tcPr>
            <w:tcW w:type="dxa" w:w="1400"/>
            <w:tcBorders>
              <w:top w:val="single" w:color="D5DEE8" w:sz="4"/>
              <w:left w:val="single" w:color="D5DEE8" w:sz="4"/>
              <w:bottom w:val="single" w:color="D5DEE8" w:sz="4"/>
              <w:right w:val="single" w:color="D5DEE8" w:sz="4"/>
            </w:tcBorders>
            <w:shd w:fill="F2F5F8"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Dada mtg</w:t>
            </w:r>
          </w:p>
        </w:tc>
      </w:tr>
      <w:tr>
        <w:tc>
          <w:tcPr>
            <w:tcW w:type="dxa" w:w="9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O-11</w:t>
            </w:r>
          </w:p>
        </w:tc>
        <w:tc>
          <w:tcPr>
            <w:tcW w:type="dxa" w:w="586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left"/>
            </w:pPr>
            <w:r>
              <w:rPr>
                <w:rFonts w:ascii="Calibri" w:cs="Calibri" w:eastAsia="Calibri" w:hAnsi="Calibri"/>
                <w:b w:val="false"/>
                <w:bCs w:val="false"/>
                <w:i w:val="false"/>
                <w:iCs w:val="false"/>
                <w:color w:val="2C3E50"/>
                <w:sz w:val="20"/>
                <w:szCs w:val="20"/>
              </w:rPr>
              <w:t xml:space="preserve">Standing meeting cadence: future meetings generally scheduled 3:30 PM Pacific (per Brett meeting close).</w:t>
            </w:r>
          </w:p>
        </w:tc>
        <w:tc>
          <w:tcPr>
            <w:tcW w:type="dxa" w:w="12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bCs/>
                <w:i w:val="false"/>
                <w:iCs w:val="false"/>
                <w:color w:val="5A6C7D"/>
                <w:sz w:val="20"/>
                <w:szCs w:val="20"/>
              </w:rPr>
              <w:t xml:space="preserve">Nice</w:t>
            </w:r>
          </w:p>
        </w:tc>
        <w:tc>
          <w:tcPr>
            <w:tcW w:type="dxa" w:w="1400"/>
            <w:tcBorders>
              <w:top w:val="single" w:color="D5DEE8" w:sz="4"/>
              <w:left w:val="single" w:color="D5DEE8" w:sz="4"/>
              <w:bottom w:val="single" w:color="D5DEE8" w:sz="4"/>
              <w:right w:val="single" w:color="D5DEE8" w:sz="4"/>
            </w:tcBorders>
            <w:shd w:fill="FFFFFF" w:val="clear"/>
            <w:tcMar>
              <w:top w:type="dxa" w:w="130"/>
              <w:left w:type="dxa" w:w="170"/>
              <w:bottom w:type="dxa" w:w="130"/>
              <w:right w:type="dxa" w:w="170"/>
            </w:tcMar>
            <w:vAlign w:val="center"/>
          </w:tcPr>
          <w:p>
            <w:pPr>
              <w:spacing w:after="0" w:before="0" w:line="276"/>
              <w:jc w:val="center"/>
            </w:pPr>
            <w:r>
              <w:rPr>
                <w:rFonts w:ascii="Calibri" w:cs="Calibri" w:eastAsia="Calibri" w:hAnsi="Calibri"/>
                <w:b w:val="false"/>
                <w:bCs w:val="false"/>
                <w:i/>
                <w:iCs/>
                <w:color w:val="5A6C7D"/>
                <w:sz w:val="20"/>
                <w:szCs w:val="20"/>
              </w:rPr>
              <w:t xml:space="preserve">Brett mtg</w:t>
            </w:r>
          </w:p>
        </w:tc>
      </w:tr>
    </w:tbl>
    <w:p>
      <w:pPr>
        <w:spacing w:after="200" w:before="200"/>
      </w:pPr>
      <w:r>
        <w:rPr>
          <w:rFonts w:ascii="Calibri" w:cs="Calibri" w:eastAsia="Calibri" w:hAnsi="Calibri"/>
          <w:b w:val="false"/>
          <w:bCs w:val="false"/>
          <w:i w:val="false"/>
          <w:iCs w:val="false"/>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8"/>
              <w:left w:val="single" w:color="1D3557" w:sz="24"/>
              <w:bottom w:val="single" w:color="1D3557" w:sz="8"/>
              <w:right w:val="single" w:color="D5DEE8" w:sz="4"/>
            </w:tcBorders>
            <w:shd w:fill="F2F5F8" w:val="clear"/>
            <w:tcMar>
              <w:top w:type="dxa" w:w="200"/>
              <w:left w:type="dxa" w:w="260"/>
              <w:bottom w:type="dxa" w:w="200"/>
              <w:right w:type="dxa" w:w="260"/>
            </w:tcMar>
          </w:tcPr>
          <w:p>
            <w:pPr>
              <w:spacing w:after="70" w:before="0"/>
              <w:jc w:val="left"/>
            </w:pPr>
            <w:r>
              <w:rPr>
                <w:rFonts w:ascii="Calibri" w:cs="Calibri" w:eastAsia="Calibri" w:hAnsi="Calibri"/>
                <w:b/>
                <w:bCs/>
                <w:i w:val="false"/>
                <w:iCs w:val="false"/>
                <w:color w:val="0B1F33"/>
                <w:sz w:val="23"/>
                <w:szCs w:val="23"/>
              </w:rPr>
              <w:t xml:space="preserve">How this list is used</w:t>
            </w:r>
          </w:p>
          <w:p>
            <w:pPr>
              <w:spacing w:after="0" w:before="40" w:line="320"/>
              <w:jc w:val="left"/>
            </w:pPr>
            <w:r>
              <w:rPr>
                <w:rFonts w:ascii="Calibri" w:cs="Calibri" w:eastAsia="Calibri" w:hAnsi="Calibri"/>
                <w:b w:val="false"/>
                <w:bCs w:val="false"/>
                <w:i w:val="false"/>
                <w:iCs w:val="false"/>
                <w:color w:val="2C3E50"/>
                <w:sz w:val="22"/>
                <w:szCs w:val="22"/>
              </w:rPr>
              <w:t xml:space="preserve">This document is the working requirements register for the build. The SGSL Web Development Team checks every page and feature against the Must items in Sections 1 through 11 during internal QA, and against the Should items at design and review milestones. The Open Items in Section 12 are tracked weekly through the project lead until each is closed. Any new requirement that emerges in subsequent meetings gets added here with the next ID in sequence — the register stays the single source of truth.</w:t>
            </w:r>
          </w:p>
        </w:tc>
      </w:tr>
    </w:tbl>
    <w:p>
      <w:pPr>
        <w:spacing w:after="200" w:before="200"/>
      </w:pPr>
      <w:r>
        <w:rPr>
          <w:rFonts w:ascii="Calibri" w:cs="Calibri" w:eastAsia="Calibri" w:hAnsi="Calibri"/>
          <w:b w:val="false"/>
          <w:bCs w:val="false"/>
          <w:i w:val="false"/>
          <w:iCs w:val="false"/>
          <w:color w:val="2C3E50"/>
          <w:sz w:val="22"/>
          <w:szCs w:val="22"/>
        </w:rPr>
        <w:t xml:space="preserve"/>
      </w:r>
    </w:p>
    <w:p>
      <w:pPr>
        <w:spacing w:after="0" w:before="300"/>
        <w:jc w:val="center"/>
      </w:pPr>
      <w:r>
        <w:rPr>
          <w:rFonts w:ascii="Calibri" w:cs="Calibri" w:eastAsia="Calibri" w:hAnsi="Calibri"/>
          <w:b w:val="false"/>
          <w:bCs w:val="false"/>
          <w:i/>
          <w:iCs/>
          <w:color w:val="5A6C7D"/>
          <w:sz w:val="20"/>
          <w:szCs w:val="20"/>
        </w:rPr>
        <w:t xml:space="preserve">End of requirements document — SGSL-REQ-2026-016</w:t>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9D8F" w:sz="4" w:space="4"/>
      </w:pBdr>
      <w:jc w:val="center"/>
    </w:pPr>
    <w:r>
      <w:rPr>
        <w:rFonts w:ascii="Calibri" w:cs="Calibri" w:eastAsia="Calibri" w:hAnsi="Calibri"/>
        <w:b w:val="false"/>
        <w:bCs w:val="false"/>
        <w:i w:val="false"/>
        <w:iCs w:val="false"/>
        <w:color w:val="5A6C7D"/>
        <w:sz w:val="16"/>
        <w:szCs w:val="16"/>
      </w:rPr>
      <w:t xml:space="preserve">Consolidated from meetings — May 2026    |    Page </w:t>
    </w:r>
    <w:r>
      <w:rPr>
        <w:color w:val="5A6C7D"/>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5A6C7D"/>
        <w:sz w:val="16"/>
        <w:szCs w:val="16"/>
      </w:rPr>
      <w:t xml:space="preserve"> of </w:t>
    </w:r>
    <w:r>
      <w:rPr>
        <w:color w:val="5A6C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4" w:space="4"/>
      </w:pBdr>
      <w:jc w:val="center"/>
    </w:pPr>
    <w:r>
      <w:rPr>
        <w:rFonts w:ascii="Calibri" w:cs="Calibri" w:eastAsia="Calibri" w:hAnsi="Calibri"/>
        <w:b/>
        <w:bCs/>
        <w:i w:val="false"/>
        <w:iCs w:val="false"/>
        <w:color w:val="1D3557"/>
        <w:sz w:val="16"/>
        <w:szCs w:val="16"/>
      </w:rPr>
      <w:t xml:space="preserve">SGSL INTERNAL</w:t>
    </w:r>
    <w:r>
      <w:rPr>
        <w:rFonts w:ascii="Calibri" w:cs="Calibri" w:eastAsia="Calibri" w:hAnsi="Calibri"/>
        <w:b w:val="false"/>
        <w:bCs w:val="false"/>
        <w:i w:val="false"/>
        <w:iCs w:val="false"/>
        <w:color w:val="5A6C7D"/>
        <w:sz w:val="16"/>
        <w:szCs w:val="16"/>
      </w:rPr>
      <w:t xml:space="preserve">    OAOC Three Branch Websites — Requirements    </w:t>
    </w:r>
    <w:r>
      <w:rPr>
        <w:rFonts w:ascii="Calibri" w:cs="Calibri" w:eastAsia="Calibri" w:hAnsi="Calibri"/>
        <w:b w:val="false"/>
        <w:bCs w:val="false"/>
        <w:i w:val="false"/>
        <w:iCs w:val="false"/>
        <w:color w:val="5A6C7D"/>
        <w:sz w:val="16"/>
        <w:szCs w:val="16"/>
      </w:rPr>
      <w:t xml:space="preserve">SGSL-REQ-2026-016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A9D8F"/>
        <w:sz w:val="16"/>
        <w:szCs w:val="16"/>
      </w:rPr>
    </w:lvl>
    <w:lvl w:ilvl="1" w15:tentative="1">
      <w:start w:val="1"/>
      <w:numFmt w:val="bullet"/>
      <w:lvlText w:val="○"/>
      <w:lvlJc w:val="left"/>
      <w:pPr>
        <w:ind w:left="920" w:hanging="260"/>
      </w:pPr>
      <w:rPr>
        <w:color w:val="2A9D8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OAOC Three Branch Websites — Consolidated Requirements</dc:title>
  <dc:creator>Seer Global Solutions Limited</dc:creator>
  <dc:description>Consolidated must-have requirements synthesized from the Brett Colbo marketing kickoff and the Dr. Dada follow-up meeting, May 2026.</dc:description>
  <cp:lastModifiedBy>Un-named</cp:lastModifiedBy>
  <cp:revision>1</cp:revision>
  <dcterms:created xsi:type="dcterms:W3CDTF">2026-05-30T00:07:08.916Z</dcterms:created>
  <dcterms:modified xsi:type="dcterms:W3CDTF">2026-05-30T00:07:08.929Z</dcterms:modified>
</cp:coreProperties>
</file>

<file path=docProps/custom.xml><?xml version="1.0" encoding="utf-8"?>
<Properties xmlns="http://schemas.openxmlformats.org/officeDocument/2006/custom-properties" xmlns:vt="http://schemas.openxmlformats.org/officeDocument/2006/docPropsVTypes"/>
</file>