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TRES</w:t>
      </w:r>
    </w:p>
    <w:p>
      <w:pPr>
        <w:spacing w:after="360"/>
      </w:pPr>
      <w:r>
        <w:rPr>
          <w:i/>
          <w:iCs/>
          <w:color w:val="555555"/>
          <w:sz w:val="22"/>
          <w:szCs w:val="22"/>
        </w:rPr>
        <w:t xml:space="preserve">Nome, símbolo e tese — material de apoio para a assessoria</w:t>
      </w:r>
    </w:p>
    <w:p>
      <w:pPr>
        <w:spacing w:after="200"/>
      </w:pPr>
      <w:r>
        <w:t xml:space="preserve">Este documento reúne, de forma organizada, o raciocínio completo por trás da escolha dos três nomes (método, mentoria e workshop), do símbolo do octaedro e da tese central que sustenta tudo isso. A ideia é que quem for cuidar da comunicação da marca entenda não só “o quê”, mas o “por quê” de cada escolha — porque nome, símbolo e filosofia aqui contam exatamente a mesma história em três camadas diferentes.</w:t>
      </w:r>
    </w:p>
    <w:p>
      <w:pPr>
        <w:pStyle w:val="Heading1"/>
      </w:pPr>
      <w:r>
        <w:t xml:space="preserve">Resumo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rPr>
              <w:t xml:space="preserve">Camada</w:t>
            </w:r>
          </w:p>
        </w:tc>
        <w:tc>
          <w:tcPr>
            <w:tcW w:type="dxa" w:w="18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rPr>
              <w:t xml:space="preserve">Nome</w:t>
            </w:r>
          </w:p>
        </w:tc>
        <w:tc>
          <w:tcPr>
            <w:tcW w:type="dxa" w:w="57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rPr>
              <w:t xml:space="preserve">Significado central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Método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TRES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Traduzir, Revelar, Escolher, Sustentar — o processo técnico de leitura e mudança de padrão.</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Mentoria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Maestria</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A prática contínua de uma competência que ninguém ensinou — o acompanhamento de longo prazo.</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Workshop</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Eixo</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rPr>
              <w:t xml:space="preserve">O retorno vivido e intensivo ao centro — a virada de três dias.</w:t>
            </w:r>
          </w:p>
        </w:tc>
      </w:tr>
    </w:tbl>
    <w:p>
      <w:pPr>
        <w:spacing w:before="320"/>
      </w:pPr>
    </w:p>
    <w:p>
      <w:pPr>
        <w:pStyle w:val="Heading1"/>
      </w:pPr>
      <w:r>
        <w:t xml:space="preserve">A tese central: o Princípio de Correspondência</w:t>
      </w:r>
    </w:p>
    <w:p>
      <w:pPr>
        <w:spacing w:after="200"/>
      </w:pPr>
      <w:r>
        <w:t xml:space="preserve">Tudo neste projeto — os nomes, o símbolo, o método em si — nasce de uma única ideia, que é a base filosófica de todo o trabalho: o princípio hermético de correspondência, popularmente resumido como “como em cima, como embaixo”. Na formulação clássica, atribuída à Tábua de Esmeralda de Hermes Trismegisto: “O que está embaixo é como o que está em cima, e o que está em cima é como o que está embaixo, para realizar o milagre da unidade.”</w:t>
      </w:r>
    </w:p>
    <w:p>
      <w:pPr>
        <w:spacing w:after="200"/>
      </w:pPr>
      <w:r>
        <w:t xml:space="preserve">Na prática do trabalho, isso significa: o que acontece na vida de uma pessoa — na liderança, nas relações de equipe, na carreira — é reflexo do que acontece no mundo interno dela. Por isso, mesmo quando o ponto de partida da conversa é o que a pessoa quer transformar lá fora, a mudança de verdade é feita para dentro. Olha-se para o externo — o que está acontecendo, o que a pessoa quer mudar — mas o trabalho real acontece no mundo interno.</w:t>
      </w:r>
    </w:p>
    <w:p>
      <w:pPr>
        <w:spacing w:after="200"/>
      </w:pPr>
      <w:r>
        <w:t xml:space="preserve">Um ponto importante de honestidade que faz parte dessa tese: o resultado não é garantido. Não porque o princípio falhe, mas porque ele depende de uma variável que não está sob controle do método — a coragem da pessoa de virar, de verdade, para dentro, e de pagar o preço que isso exige. O compromisso assumido é com o quanto a pessoa tiver coragem de fazer, não com uma promessa de resultado abstrato.</w:t>
      </w:r>
    </w:p>
    <w:p>
      <w:pPr>
        <w:pStyle w:val="Heading1"/>
      </w:pPr>
      <w:r>
        <w:t xml:space="preserve">Os três nomes</w:t>
      </w:r>
    </w:p>
    <w:p>
      <w:pPr>
        <w:pStyle w:val="Heading2"/>
      </w:pPr>
      <w:r>
        <w:t xml:space="preserve">Método: TRES</w:t>
      </w:r>
    </w:p>
    <w:p>
      <w:pPr>
        <w:spacing w:after="200"/>
      </w:pPr>
      <w:r>
        <w:t xml:space="preserve">TRES é uma sigla que também é uma palavra: “três”, sem acento. As quatro letras vêm dos quatro movimentos reais do método, na ordem exata em que acontecem:</w:t>
      </w:r>
    </w:p>
    <w:p>
      <w:pPr>
        <w:pStyle w:val="ListParagraph"/>
        <w:numPr>
          <w:ilvl w:val="0"/>
          <w:numId w:val="2"/>
        </w:numPr>
        <w:spacing w:after="120"/>
      </w:pPr>
      <w:r>
        <w:t xml:space="preserve">Traduzir — decodificar o padrão que estava invisível (o que hoje se descreve como mapear e enxergar).</w:t>
      </w:r>
    </w:p>
    <w:p>
      <w:pPr>
        <w:pStyle w:val="ListParagraph"/>
        <w:numPr>
          <w:ilvl w:val="0"/>
          <w:numId w:val="2"/>
        </w:numPr>
        <w:spacing w:after="120"/>
      </w:pPr>
      <w:r>
        <w:t xml:space="preserve">Revelar — trazer à luz e nomear o que foi traduzido.</w:t>
      </w:r>
    </w:p>
    <w:p>
      <w:pPr>
        <w:pStyle w:val="ListParagraph"/>
        <w:numPr>
          <w:ilvl w:val="0"/>
          <w:numId w:val="2"/>
        </w:numPr>
        <w:spacing w:after="120"/>
      </w:pPr>
      <w:r>
        <w:t xml:space="preserve">Escolher — o ponto real de virada: a mudança não acontece por abstração, acontece no instante em que a pessoa escolhe diferente.</w:t>
      </w:r>
    </w:p>
    <w:p>
      <w:pPr>
        <w:pStyle w:val="ListParagraph"/>
        <w:numPr>
          <w:ilvl w:val="0"/>
          <w:numId w:val="2"/>
        </w:numPr>
        <w:spacing w:after="120"/>
      </w:pPr>
      <w:r>
        <w:t xml:space="preserve">Sustentar — manter o novo padrão vivo ao longo do tempo.</w:t>
      </w:r>
    </w:p>
    <w:p>
      <w:pPr>
        <w:spacing w:after="200"/>
      </w:pPr>
      <w:r>
        <w:t xml:space="preserve">Além de descrever com precisão o que o método faz — o que dá segurança e credibilidade diante de um público de líderes exigentes e já céticos de fórmulas prontas — o nome carrega um eco numérico: TRES remete diretamente aos três sistemas que o método lê em qualquer processo de liderança — o indivíduo, as pessoas ao redor dele e a cultura em que está inserido. Não é uma coincidência decorativa: é a mesma lógica de três expressa duas vezes, no processo e no número.</w:t>
      </w:r>
    </w:p>
    <w:p>
      <w:pPr>
        <w:pStyle w:val="Heading2"/>
      </w:pPr>
      <w:r>
        <w:t xml:space="preserve">Mentoria: Maestria</w:t>
      </w:r>
    </w:p>
    <w:p>
      <w:pPr>
        <w:spacing w:after="200"/>
      </w:pPr>
      <w:r>
        <w:t xml:space="preserve">Maestria é a palavra que já nomeava o projeto antes mesmo de começar o processo de naming — a ideia original era a de uma “maestria que ninguém te ensinou”. Ela nomeia exatamente o papel da mentoria dentro do sistema: não é o momento da descoberta (isso acontece no método e no workshop), é o espaço de prática contínua, de longo prazo, onde uma capacidade que a pessoa já carrega — mas nunca aprendeu a exercer deliberadamente — é lapidada ao longo do tempo, com acompanhamento próximo.</w:t>
      </w:r>
    </w:p>
    <w:p>
      <w:pPr>
        <w:pStyle w:val="Heading2"/>
      </w:pPr>
      <w:r>
        <w:t xml:space="preserve">Workshop: Eixo</w:t>
      </w:r>
    </w:p>
    <w:p>
      <w:pPr>
        <w:spacing w:after="200"/>
      </w:pPr>
      <w:r>
        <w:t xml:space="preserve">Eixo é a palavra que apareceu sozinha, repetidamente, ao longo de toda a construção da marca — antes mesmo de qualquer processo formal de naming começar. Ela já existe como expressão consolidada da língua portuguesa: “sair do eixo”, “voltar ao eixo”, “estar no seu eixo”. Isso significa que o nome não precisa de explicação alguma — quem ouve já entende, na hora, do que se trata.</w:t>
      </w:r>
    </w:p>
    <w:p>
      <w:pPr>
        <w:spacing w:after="200"/>
      </w:pPr>
      <w:r>
        <w:t xml:space="preserve">Como nome do workshop — o evento presencial e intensivo de três dias — Eixo nomeia exatamente o que a experiência entrega: o retorno vivido, ao vivo, ao centro. É o momento de virada mais concreto e mais público de todo o sistema, por isso carrega o nome mais simbólico e mais imediatamente reconhecível dos três.</w:t>
      </w:r>
    </w:p>
    <w:p>
      <w:pPr>
        <w:pStyle w:val="Heading1"/>
      </w:pPr>
      <w:r>
        <w:t xml:space="preserve">O símbolo: o octaedro</w:t>
      </w:r>
    </w:p>
    <w:p>
      <w:pPr>
        <w:spacing w:after="200"/>
      </w:pPr>
      <w:r>
        <w:t xml:space="preserve">O octaedro é um dos cinco sólidos platônicos: uma figura geométrica formada por oito faces triangulares, seis vértices e doze arestas — na prática, duas pirâmides de base quadrada unidas por essa base. Foi escolhido como símbolo central da marca porque, ao ser examinado com atenção, ele revelou sozinho três camadas de significado que já existiam no trabalho, sem precisar ser forçado.</w:t>
      </w:r>
    </w:p>
    <w:p>
      <w:pPr>
        <w:pStyle w:val="Heading2"/>
      </w:pPr>
      <w:r>
        <w:t xml:space="preserve">A geometria e os três sistemas</w:t>
      </w:r>
    </w:p>
    <w:p>
      <w:pPr>
        <w:spacing w:after="200"/>
      </w:pPr>
      <w:r>
        <w:t xml:space="preserve">A estrutura do octaedro mapeia, com precisão, os três sistemas que o método lê:</w:t>
      </w:r>
    </w:p>
    <w:p>
      <w:pPr>
        <w:pStyle w:val="ListParagraph"/>
        <w:numPr>
          <w:ilvl w:val="0"/>
          <w:numId w:val="2"/>
        </w:numPr>
        <w:spacing w:after="120"/>
      </w:pPr>
      <w:r>
        <w:t xml:space="preserve">O vértice superior representa as pessoas e o mundo — a parte consciente, relacional, externa.</w:t>
      </w:r>
    </w:p>
    <w:p>
      <w:pPr>
        <w:pStyle w:val="ListParagraph"/>
        <w:numPr>
          <w:ilvl w:val="0"/>
          <w:numId w:val="2"/>
        </w:numPr>
        <w:spacing w:after="120"/>
      </w:pPr>
      <w:r>
        <w:t xml:space="preserve">O quadrado central — onde as duas pirâmides se encontram — representa a cultura e o concreto: a superfície onde tudo é, de fato, vivido e visto.</w:t>
      </w:r>
    </w:p>
    <w:p>
      <w:pPr>
        <w:pStyle w:val="ListParagraph"/>
        <w:numPr>
          <w:ilvl w:val="0"/>
          <w:numId w:val="2"/>
        </w:numPr>
        <w:spacing w:after="120"/>
      </w:pPr>
      <w:r>
        <w:t xml:space="preserve">O vértice inferior representa o indivíduo e o inconsciente — a parte interna, oculta, que sustenta tudo por baixo.</w:t>
      </w:r>
    </w:p>
    <w:p>
      <w:pPr>
        <w:spacing w:after="200"/>
      </w:pPr>
      <w:r>
        <w:t xml:space="preserve">Essa correspondência não foi imposta de fora: ela nasceu de uma observação direta da própria forma geométrica, e por isso soa autêntica em vez de ilustrativa.</w:t>
      </w:r>
    </w:p>
    <w:p>
      <w:pPr>
        <w:pStyle w:val="Heading2"/>
      </w:pPr>
      <w:r>
        <w:t xml:space="preserve">A Lei do Três (o triângulo do eneagrama)</w:t>
      </w:r>
    </w:p>
    <w:p>
      <w:pPr>
        <w:spacing w:after="200"/>
      </w:pPr>
      <w:r>
        <w:t xml:space="preserve">Cada uma das oito faces do octaedro é um triângulo — o que ecoa diretamente um elemento central do eneagrama, uma das ferramentas de base do trabalho. No símbolo do eneagrama, o triângulo que liga os pontos 3, 6 e 9 representa a Lei do Três, formulada por Gurdjieff: a ideia de que todo fenômeno no universo nasce do encontro de três forças — uma ativa, uma passiva e uma reconciliadora (ação, reação e mediação). O octaedro, construído inteiramente a partir de triângulos, expressa essa mesma lei na forma — e ainda reforça, visualmente, o eco numérico já presente no nome TRES.</w:t>
      </w:r>
    </w:p>
    <w:p>
      <w:pPr>
        <w:pStyle w:val="Heading2"/>
      </w:pPr>
      <w:r>
        <w:t xml:space="preserve">O Princípio de Correspondência</w:t>
      </w:r>
    </w:p>
    <w:p>
      <w:pPr>
        <w:spacing w:after="200"/>
      </w:pPr>
      <w:r>
        <w:t xml:space="preserve">A pirâmide superior e a pirâmide inferior do octaedro são, geometricamente, espelhos exatos uma da outra, unidas pelo mesmo quadrado central. Isso torna o símbolo uma expressão literal — não apenas poética — do princípio hermético que é a tese central de todo o trabalho: “como em cima, como embaixo”. O que está no topo (o mundo, as pessoas) reflete o que está na base (o indivíduo, o inconsciente), e vice-versa.</w:t>
      </w:r>
    </w:p>
    <w:p>
      <w:pPr>
        <w:pStyle w:val="Heading1"/>
      </w:pPr>
      <w:r>
        <w:t xml:space="preserve">Como tudo se conecta</w:t>
      </w:r>
    </w:p>
    <w:p>
      <w:pPr>
        <w:spacing w:after="200"/>
      </w:pPr>
      <w:r>
        <w:t xml:space="preserve">O nome, o símbolo e a filosofia contam a mesma história em três camadas diferentes, e nenhuma delas foi construída de fora para dentro — todas emergiram do próprio raciocínio e da própria linguagem que já existiam no trabalho:</w:t>
      </w:r>
    </w:p>
    <w:p>
      <w:pPr>
        <w:pStyle w:val="ListParagraph"/>
        <w:numPr>
          <w:ilvl w:val="0"/>
          <w:numId w:val="2"/>
        </w:numPr>
        <w:spacing w:after="120"/>
      </w:pPr>
      <w:r>
        <w:t xml:space="preserve">TRES nomeia o processo (traduzir, revelar, escolher, sustentar) e ecoa numericamente os três sistemas e a Lei do Três.</w:t>
      </w:r>
    </w:p>
    <w:p>
      <w:pPr>
        <w:pStyle w:val="ListParagraph"/>
        <w:numPr>
          <w:ilvl w:val="0"/>
          <w:numId w:val="2"/>
        </w:numPr>
        <w:spacing w:after="120"/>
      </w:pPr>
      <w:r>
        <w:t xml:space="preserve">O octaedro mostra esses três sistemas em forma geométrica, e expressa fisicamente o Princípio de Correspondência.</w:t>
      </w:r>
    </w:p>
    <w:p>
      <w:pPr>
        <w:pStyle w:val="ListParagraph"/>
        <w:numPr>
          <w:ilvl w:val="0"/>
          <w:numId w:val="2"/>
        </w:numPr>
        <w:spacing w:after="120"/>
      </w:pPr>
      <w:r>
        <w:t xml:space="preserve">A tese “como em cima, como embaixo” explica por que o método funciona: a mudança externa (liderança, equipe, carreira) é consequência da mudança interna, e essa é a base de tudo o que se ensina no método, na mentoria e no workshop.</w:t>
      </w:r>
    </w:p>
    <w:p>
      <w:pPr>
        <w:pStyle w:val="Heading1"/>
      </w:pPr>
      <w:r>
        <w:t xml:space="preserve">A frase-tese</w:t>
      </w:r>
    </w:p>
    <w:p>
      <w:pPr>
        <w:spacing w:after="200"/>
      </w:pPr>
      <w:r>
        <w:t xml:space="preserve">Um parágrafo curto que resume a tese central, pensado para abrir a comunicação do workshop, da mentoria ou do próprio material institucional:</w:t>
      </w:r>
    </w:p>
    <w:p>
      <w:pPr>
        <w:pBdr>
          <w:left w:val="single" w:color="999999" w:sz="12" w:space="8"/>
        </w:pBdr>
        <w:spacing w:after="200" w:before="100"/>
        <w:ind w:left="480"/>
      </w:pPr>
      <w:r>
        <w:rPr>
          <w:i/>
          <w:iCs/>
        </w:rPr>
        <w:t xml:space="preserve">“Como em cima, como embaixo. O que acontece na sua vida — na liderança, na equipe, na carreira — é reflexo do seu mundo interno. Por isso, mesmo quando o ponto de partida é o que você quer transformar lá fora, a mudança de verdade acontece dentro. Isso não é garantia de resultado: o resultado depende de uma variável que não está sob o nosso controle — a sua coragem de virar, verdadeiramente, para dentro. O que garantimos é o nosso compromisso com o tanto que você tiver coragem de fazer.”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2026-07-03T14:02:42.432Z</dcterms:created>
  <dcterms:modified xsi:type="dcterms:W3CDTF">2026-07-03T14:02:42.432Z</dcterms:modified>
</cp:coreProperties>
</file>

<file path=docProps/custom.xml><?xml version="1.0" encoding="utf-8"?>
<Properties xmlns="http://schemas.openxmlformats.org/officeDocument/2006/custom-properties" xmlns:vt="http://schemas.openxmlformats.org/officeDocument/2006/docPropsVTypes"/>
</file>