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7" w:name="content"/>
    <w:bookmarkStart w:id="56" w:name="Xac9989efbcb46a7a7dc503de43fa7987a6f2d6f"/>
    <w:p>
      <w:pPr>
        <w:pStyle w:val="Heading1"/>
      </w:pPr>
      <w:r>
        <w:t xml:space="preserve">Framework operacional de ICP e anti-ICP para Débora Delgado</w:t>
      </w:r>
    </w:p>
    <w:bookmarkStart w:id="28" w:name="sumário-executivo"/>
    <w:p>
      <w:pPr>
        <w:pStyle w:val="Heading2"/>
      </w:pPr>
      <w:r>
        <w:t xml:space="preserve">Sumário executivo</w:t>
      </w:r>
    </w:p>
    <w:p>
      <w:pPr>
        <w:pStyle w:val="FirstParagraph"/>
      </w:pPr>
      <w:r>
        <w:t xml:space="preserve">O corpus consultado no Google Drive mostra que a mentoria da Débora não é uma oferta de aconselhamento genérico nem um serviço terapêutico disfarçado: ela é apresentada como uma prática educacional de automaestria, que ajuda a pessoa a reconhecer padrões, compreender a própria dinâmica interna e agir com mais autonomia. Nessa lógica, o mecanismo central do método é o ciclo interpretação → emoção → reação → experiência; por isso, a entrada na mentoria depende menos de “gostar do tema” e mais de ter disponibilidade para revisar interpretações, sustentar desconforto produtivo e aplicar mudanças concretas. O EFT aparece como ferramenta útil dentro do processo, e o Eneagrama aparece como mapa de padrão, não como rótulo fixo.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Também no Google Drive, os materiais internos deixam claro que o problema central da oferta é “impacto sem congruência”: gente competente, valiosa e capaz, mas que trabalha, lidera ou contribui pagando um custo alto demais em energia, identidade, relações, valor e rotina. A transformação prometida é “impacto com congruência”: reconhecer o impacto natural que já gera, sustentar limites, parar de se adaptar ao que drena e receber por coerência. Os formulários de resposta da própria Débora reforçam que o público desejado quer mais propósito no trabalho, percebe que o mundo interno afeta o externo, tem coragem mínima de olhar para dentro e costuma ter alguma experiência prévia com processos emocionais; os sinais de não aderência incluem cabeça fechada, culpabilização do externo, recusa em sentir emoções, pressa excessiva e busca de solução apenas prática.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A literatura externa converge com isso em quatro pontos. Primeiro, ICP deve descrever o tipo de cliente com maior probabilidade de comprar, ter sucesso e gerar valor de longo prazo, com base em dados reais, e não em suposições; ele não é a mesma coisa que buyer persona. Segundo, frameworks de qualificação robustos priorizam contexto, dor, impacto, urgência e processo decisório — não apenas “interesse”. Terceiro, readiness para mudança está associada a melhores resultados, e escalas curtas de 0 a 10 são úteis para extrair motivação e barreiras. Quarto, o oposto da prontidão não é “imaturidade”: é, com frequência, baixa abertura cognitiva, desconforto com ambiguidade e fechamento prematuro — exatamente o terreno do que aqui vale tratar como anti-ICP.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  <w:r>
        <w:t xml:space="preserve"> </w:t>
      </w:r>
      <w:hyperlink r:id="rId26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A recomendação, portanto, é operacionalizar o sistema em três camadas: gates duros de escopo e segurança, score ponderado de adequação e prontidão, e roteamento inequívoco para uma de quatro decisões: entrar, amadurecer, produto inicial ou não aderente agora. O coração do sistema não deve ser setor, cargo ou “perfil corporativo”, mas sim a combinação de impacto, propósito, consciência de padrão, abertura a novas perspectivas, autorresponsabilidade e capacidade de execução. Isso é o que torna o framework imediatamente acionável e compatível com a tese da Débora.</w:t>
      </w:r>
    </w:p>
    <w:bookmarkEnd w:id="28"/>
    <w:bookmarkStart w:id="34" w:name="base-de-evidências-e-premissas"/>
    <w:p>
      <w:pPr>
        <w:pStyle w:val="Heading2"/>
      </w:pPr>
      <w:r>
        <w:t xml:space="preserve">Base de evidências e premissas</w:t>
      </w:r>
    </w:p>
    <w:p>
      <w:pPr>
        <w:pStyle w:val="FirstParagraph"/>
      </w:pPr>
      <w:r>
        <w:t xml:space="preserve">No Google Drive, as fontes mais úteis para esta definição foram: o encontro sobre padrões e realidade, que explicita a diferença entre mentoria e terapia e o ciclo interpretação-emoção-reação-experiência; a aula sobre a importância do inconsciente, que descreve objetivos travados como efeito de crenças, dores e estratégias protetivas não conscientes; a aula sobre crenças de trabalho, que reposiciona trabalho como troca relacional de valor e desfaz a associação entre trabalho, sofrimento e valor pessoal; o documento da mentoria, que organiza promessa, dores, pilares e ganhos práticos; o Mapa de Valor Autêntico, que traz Ikigai, Menu do Entusiasmo, linha da vida, antivalores, medos e necessidades; e as respostas do formulário da própria Débora, que nomeiam exemplos de prontos, resistentes e encaminhamentos fora de escopo.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hyperlink r:id="rId30">
        <w:r>
          <w:rPr>
            <w:rStyle w:val="Hyperlink"/>
          </w:rPr>
          <w:t xml:space="preserve">[17]</w:t>
        </w:r>
      </w:hyperlink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hyperlink r:id="rId31">
        <w:r>
          <w:rPr>
            <w:rStyle w:val="Hyperlink"/>
          </w:rPr>
          <w:t xml:space="preserve">[19]</w:t>
        </w:r>
      </w:hyperlink>
      <w:r>
        <w:t xml:space="preserve"> </w:t>
      </w:r>
      <w:hyperlink r:id="rId31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Na literatura e nos referenciais de mercado, usei ICP e buyer persona da HubSpot e da RD Station para ancorar a diferença entre “quem vale a pena atender” e “como falar com a pessoa”; Salesforce para scoring e qualificação objetiva; Winning by Design para SPICED e handoff entre times; MEDDICC para dor, impacto, critérios e processo decisório; e artigos acadêmicos/open access sobre readiness, readiness rulers, need for cognitive closure e actively open-minded thinking. A síntese operacional abaixo não replica nenhum framework “de prateleira”: ela adapta essas referências ao método da Débora e aos sinais levantados nos seus próprios arquivos.</w:t>
      </w:r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t xml:space="preserve"> </w:t>
      </w:r>
      <w:hyperlink r:id="rId33">
        <w:r>
          <w:rPr>
            <w:rStyle w:val="Hyperlink"/>
          </w:rPr>
          <w:t xml:space="preserve">[24]</w:t>
        </w:r>
      </w:hyperlink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t xml:space="preserve"> </w:t>
      </w:r>
      <w:hyperlink r:id="rId27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Duas premissas operacionais não estavam documentadas de forma estruturada nas fontes consultadas, mas foram trazidas no briefing e precisam ser tratadas como regras de projeto: a mentoria principal é a oferta central e deve operar como LAB de evolução e autoridade, com capacidade protegida; workshops e produtos introdutórios funcionam como porta de entrada e fila; e o ticket semestral atual foi informado em R$ 4,88 mil, com referência futura de R$ 6 mil. Isso implica uma postura conservadora na entrada: o sistema deve maximizar qualidade de coorte, não volume de fechamento.</w:t>
      </w:r>
    </w:p>
    <w:p>
      <w:pPr>
        <w:pStyle w:val="BodyText"/>
      </w:pPr>
      <w:r>
        <w:t xml:space="preserve">Outra premissa importante: o ICP não deve ser limitado ao “corporativo”. Os arquivos internos citam líderes e, em algumas respostas, mostram preferência por educação e saúde, mas o problema-âncora documentado é mais amplo: pessoas que geram ou querem gerar impacto com mais propósito e sofrem com a incongruência entre quem são e a forma atual de trabalhar. Em outras palavras, setor é contexto possível; o verdadeiro critério é a combinação impacto + propósito + prontidão.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[27]</w:t>
        </w:r>
      </w:hyperlink>
    </w:p>
    <w:bookmarkEnd w:id="34"/>
    <w:bookmarkStart w:id="37" w:name="X704a720928bd73480197d0c5f6fe53d25033cdf"/>
    <w:p>
      <w:pPr>
        <w:pStyle w:val="Heading2"/>
      </w:pPr>
      <w:r>
        <w:t xml:space="preserve">Definições operacionais de ICP e anti-ICP</w:t>
      </w:r>
    </w:p>
    <w:p>
      <w:pPr>
        <w:pStyle w:val="FirstParagraph"/>
      </w:pPr>
      <w:r>
        <w:t xml:space="preserve">A melhor definição operacional de ICP para a Débora é:</w:t>
      </w:r>
      <w:r>
        <w:t xml:space="preserve"> </w:t>
      </w:r>
      <w:r>
        <w:rPr>
          <w:b/>
          <w:bCs/>
        </w:rPr>
        <w:t xml:space="preserve">pessoa com responsabilidade real sobre valor, contribuição, liderança, criação ou influência, que percebe custo de incongruência no modo atual de trabalhar/viver, quer alinhar propósito e impacto, reconhece que o externo não basta e está suficientemente aberta para revisar padrões, crenças e emoções sem terceirizar sua transformação</w:t>
      </w:r>
      <w:r>
        <w:t xml:space="preserve">. Essa pessoa pode ser executiva, líder, empreendedora, especialista, profissional liberal, educadora, profissional de saúde, criadora de projeto autoral ou alguém em transição/expansão de carreira. O vínculo comum não é setor; é a natureza do problema e a prontidão para o método. Isso está alinhado tanto com a tese de “impacto com congruência” quanto com a definição externa de ICP como cliente mais propenso a comprar, ter sucesso e gerar valor de longo prazo.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hyperlink r:id="rId23">
        <w:r>
          <w:rPr>
            <w:rStyle w:val="Hyperlink"/>
          </w:rPr>
          <w:t xml:space="preserve">[27]</w:t>
        </w:r>
      </w:hyperlink>
      <w:r>
        <w:t xml:space="preserve"> </w:t>
      </w:r>
      <w:hyperlink r:id="rId24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A melhor definição operacional de anti-ICP é:</w:t>
      </w:r>
      <w:r>
        <w:t xml:space="preserve"> </w:t>
      </w:r>
      <w:r>
        <w:rPr>
          <w:b/>
          <w:bCs/>
        </w:rPr>
        <w:t xml:space="preserve">perfil de baixa aderência metodológica e/ou baixa abertura cognitiva, que tenta resolver um problema de congruência profunda só pelo lado externo, mantém respostas prontas, resiste a revisar crenças, evita contato emocional, culpa predominantemente o ambiente e não demonstra disposição prática para mudar rotina, postura e padrões</w:t>
      </w:r>
      <w:r>
        <w:t xml:space="preserve">. Anti-ICP, aqui, não é insulto nem laudo; é uma categoria de risco operacional. O construto psicológico mais próximo é combinação de baixa actively open-minded thinking com traços de high need for closure: preferência por previsibilidade, desconforto com ambiguidade, close-mindedness e fechamento rápido sobre o que já “sabe”.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A distinção crítica não é entre “ICP” e “não ICP”, mas entre</w:t>
      </w:r>
      <w:r>
        <w:t xml:space="preserve"> </w:t>
      </w:r>
      <w:r>
        <w:rPr>
          <w:b/>
          <w:bCs/>
        </w:rPr>
        <w:t xml:space="preserve">pronto</w:t>
      </w:r>
      <w:r>
        <w:t xml:space="preserve">,</w:t>
      </w:r>
      <w:r>
        <w:t xml:space="preserve"> </w:t>
      </w:r>
      <w:r>
        <w:rPr>
          <w:b/>
          <w:bCs/>
        </w:rPr>
        <w:t xml:space="preserve">promissor porém não pronto</w:t>
      </w:r>
      <w:r>
        <w:t xml:space="preserve">,</w:t>
      </w:r>
      <w:r>
        <w:t xml:space="preserve"> </w:t>
      </w:r>
      <w:r>
        <w:rPr>
          <w:b/>
          <w:bCs/>
        </w:rPr>
        <w:t xml:space="preserve">curioso sem profundidade suficiente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fora de escopo/agora não aderente</w:t>
      </w:r>
      <w:r>
        <w:t xml:space="preserve">. A literatura de readiness ajuda aqui, mas com uma cautela importante: readiness é útil como contínuo e preditor de resultado; não deve ser tratada como um rótulo rígido e definitivo. Por isso, o sistema recomendado usa score contínuo e gates observáveis, não “estágios de mudança” como sentença.</w:t>
      </w:r>
      <w:r>
        <w:t xml:space="preserve"> </w:t>
      </w:r>
      <w:hyperlink r:id="rId26">
        <w:r>
          <w:rPr>
            <w:rStyle w:val="Hyperlink"/>
          </w:rPr>
          <w:t xml:space="preserve">[30]</w:t>
        </w:r>
      </w:hyperlink>
      <w:r>
        <w:t xml:space="preserve"> </w:t>
      </w:r>
      <w:hyperlink r:id="rId35">
        <w:r>
          <w:rPr>
            <w:rStyle w:val="Hyperlink"/>
          </w:rPr>
          <w:t xml:space="preserve">[31]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ICP operacional</w:t>
            </w:r>
          </w:p>
        </w:tc>
        <w:tc>
          <w:tcPr/>
          <w:p>
            <w:pPr>
              <w:pStyle w:val="Compact"/>
            </w:pPr>
            <w:r>
              <w:t xml:space="preserve">Anti-ICP operacional</w:t>
            </w:r>
          </w:p>
        </w:tc>
        <w:tc>
          <w:tcPr/>
          <w:p>
            <w:pPr>
              <w:pStyle w:val="Compact"/>
            </w:pPr>
            <w:r>
              <w:t xml:space="preserve">O que ouvir na fala do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Relação com o problema</w:t>
            </w:r>
          </w:p>
        </w:tc>
        <w:tc>
          <w:tcPr/>
          <w:p>
            <w:pPr>
              <w:pStyle w:val="Compact"/>
            </w:pPr>
            <w:r>
              <w:t xml:space="preserve">Reconhece que o externo pesa, mas que existe participação interna</w:t>
            </w:r>
          </w:p>
        </w:tc>
        <w:tc>
          <w:tcPr/>
          <w:p>
            <w:pPr>
              <w:pStyle w:val="Compact"/>
            </w:pPr>
            <w:r>
              <w:t xml:space="preserve">Vê o problema como 100% externo</w:t>
            </w:r>
          </w:p>
        </w:tc>
        <w:tc>
          <w:tcPr/>
          <w:p>
            <w:pPr>
              <w:pStyle w:val="Compact"/>
            </w:pPr>
            <w:r>
              <w:t xml:space="preserve">“Já mudei contexto e o padrão continua” vs. “Se meu chefe mudasse, resolvia tudo”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Relação com propósito</w:t>
            </w:r>
          </w:p>
        </w:tc>
        <w:tc>
          <w:tcPr/>
          <w:p>
            <w:pPr>
              <w:pStyle w:val="Compact"/>
            </w:pPr>
            <w:r>
              <w:t xml:space="preserve">Quer gerar impacto com sentido e não apenas aliviar dor imediata</w:t>
            </w:r>
          </w:p>
        </w:tc>
        <w:tc>
          <w:tcPr/>
          <w:p>
            <w:pPr>
              <w:pStyle w:val="Compact"/>
            </w:pPr>
            <w:r>
              <w:t xml:space="preserve">Quer só apagar incêndio ou ganhar dinheiro rápido</w:t>
            </w:r>
          </w:p>
        </w:tc>
        <w:tc>
          <w:tcPr/>
          <w:p>
            <w:pPr>
              <w:pStyle w:val="Compact"/>
            </w:pPr>
            <w:r>
              <w:t xml:space="preserve">“Quero alinhar trabalho e vida” vs. “Só preciso de um movimento prático”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Consciência de padrão</w:t>
            </w:r>
          </w:p>
        </w:tc>
        <w:tc>
          <w:tcPr/>
          <w:p>
            <w:pPr>
              <w:pStyle w:val="Compact"/>
            </w:pPr>
            <w:r>
              <w:t xml:space="preserve">Percebe repetição, ambivalência ou automação</w:t>
            </w:r>
          </w:p>
        </w:tc>
        <w:tc>
          <w:tcPr/>
          <w:p>
            <w:pPr>
              <w:pStyle w:val="Compact"/>
            </w:pPr>
            <w:r>
              <w:t xml:space="preserve">Nega padrão ou o trata como irrelevante</w:t>
            </w:r>
          </w:p>
        </w:tc>
        <w:tc>
          <w:tcPr/>
          <w:p>
            <w:pPr>
              <w:pStyle w:val="Compact"/>
            </w:pPr>
            <w:r>
              <w:t xml:space="preserve">“Eu me vejo repetindo isso” vs. “Isso não tem a ver comigo”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cognitiva</w:t>
            </w:r>
          </w:p>
        </w:tc>
        <w:tc>
          <w:tcPr/>
          <w:p>
            <w:pPr>
              <w:pStyle w:val="Compact"/>
            </w:pPr>
            <w:r>
              <w:t xml:space="preserve">Tolera rever crenças e testar novas lentes</w:t>
            </w:r>
          </w:p>
        </w:tc>
        <w:tc>
          <w:tcPr/>
          <w:p>
            <w:pPr>
              <w:pStyle w:val="Compact"/>
            </w:pPr>
            <w:r>
              <w:t xml:space="preserve">Defende certezas e entra em debate defensivo</w:t>
            </w:r>
          </w:p>
        </w:tc>
        <w:tc>
          <w:tcPr/>
          <w:p>
            <w:pPr>
              <w:pStyle w:val="Compact"/>
            </w:pPr>
            <w:r>
              <w:t xml:space="preserve">“Pode ser que eu esteja vendo errado” vs. “Já sei como isso funciona”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Relação com emoção</w:t>
            </w:r>
          </w:p>
        </w:tc>
        <w:tc>
          <w:tcPr/>
          <w:p>
            <w:pPr>
              <w:pStyle w:val="Compact"/>
            </w:pPr>
            <w:r>
              <w:t xml:space="preserve">Aceita que emoção participa do processo</w:t>
            </w:r>
          </w:p>
        </w:tc>
        <w:tc>
          <w:tcPr/>
          <w:p>
            <w:pPr>
              <w:pStyle w:val="Compact"/>
            </w:pPr>
            <w:r>
              <w:t xml:space="preserve">Rejeita emoção como tema de trabalho</w:t>
            </w:r>
          </w:p>
        </w:tc>
        <w:tc>
          <w:tcPr/>
          <w:p>
            <w:pPr>
              <w:pStyle w:val="Compact"/>
            </w:pPr>
            <w:r>
              <w:t xml:space="preserve">“Entendo que isso mexe comigo” vs. “Emoção não entra aqui”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Relação com ação</w:t>
            </w:r>
          </w:p>
        </w:tc>
        <w:tc>
          <w:tcPr/>
          <w:p>
            <w:pPr>
              <w:pStyle w:val="Compact"/>
            </w:pPr>
            <w:r>
              <w:t xml:space="preserve">Implementa algo quando entende sentido</w:t>
            </w:r>
          </w:p>
        </w:tc>
        <w:tc>
          <w:tcPr/>
          <w:p>
            <w:pPr>
              <w:pStyle w:val="Compact"/>
            </w:pPr>
            <w:r>
              <w:t xml:space="preserve">Quer insight sem prática</w:t>
            </w:r>
          </w:p>
        </w:tc>
        <w:tc>
          <w:tcPr/>
          <w:p>
            <w:pPr>
              <w:pStyle w:val="Compact"/>
            </w:pPr>
            <w:r>
              <w:t xml:space="preserve">“Se fizer sentido eu testo” vs. “Só preciso de clareza”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Escopo</w:t>
            </w:r>
          </w:p>
        </w:tc>
        <w:tc>
          <w:tcPr/>
          <w:p>
            <w:pPr>
              <w:pStyle w:val="Compact"/>
            </w:pPr>
            <w:r>
              <w:t xml:space="preserve">Questão central é congruência, valor, padrão, posicionamento</w:t>
            </w:r>
          </w:p>
        </w:tc>
        <w:tc>
          <w:tcPr/>
          <w:p>
            <w:pPr>
              <w:pStyle w:val="Compact"/>
            </w:pPr>
            <w:r>
              <w:t xml:space="preserve">Demanda primária é clínica, sistêmica familiar ou recolocação tática</w:t>
            </w:r>
          </w:p>
        </w:tc>
        <w:tc>
          <w:tcPr/>
          <w:p>
            <w:pPr>
              <w:pStyle w:val="Compact"/>
            </w:pPr>
            <w:r>
              <w:t xml:space="preserve">“Quero entender meu padrão” vs. “Só preciso de um headhunter”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Postura frente a investimento</w:t>
            </w:r>
          </w:p>
        </w:tc>
        <w:tc>
          <w:tcPr/>
          <w:p>
            <w:pPr>
              <w:pStyle w:val="Compact"/>
            </w:pPr>
            <w:r>
              <w:t xml:space="preserve">Avalia adequação e valor</w:t>
            </w:r>
          </w:p>
        </w:tc>
        <w:tc>
          <w:tcPr/>
          <w:p>
            <w:pPr>
              <w:pStyle w:val="Compact"/>
            </w:pPr>
            <w:r>
              <w:t xml:space="preserve">Avalia apenas preço ou barganha cedo demais</w:t>
            </w:r>
          </w:p>
        </w:tc>
        <w:tc>
          <w:tcPr/>
          <w:p>
            <w:pPr>
              <w:pStyle w:val="Compact"/>
            </w:pPr>
            <w:r>
              <w:t xml:space="preserve">“Quero entender se faz sentido” vs. “Tem desconto?”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de evidência:</w:t>
      </w:r>
      <w:r>
        <w:t xml:space="preserve"> </w:t>
      </w:r>
      <w:r>
        <w:t xml:space="preserve">a fase “quero mais propósito”, “mundo interno reflete no externo”, “coragem de olhar pra dentro”, “curioso”, “gosta de aprender”, “coloca a mão na massa” veio explicitamente das respostas do formulário da Débora; a fase “cabeça fechada”, “criticar o outro”, “não querer sentir emoções”, “muita pressa” também. A noção externa de negative persona ou exclusionary persona reforça a utilidade de nomear quem não deve ser atendido agora.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36">
        <w:r>
          <w:rPr>
            <w:rStyle w:val="Hyperlink"/>
          </w:rPr>
          <w:t xml:space="preserve">[32]</w:t>
        </w:r>
      </w:hyperlink>
    </w:p>
    <w:bookmarkEnd w:id="37"/>
    <w:bookmarkStart w:id="44" w:name="framework-integrado-recomendado"/>
    <w:p>
      <w:pPr>
        <w:pStyle w:val="Heading2"/>
      </w:pPr>
      <w:r>
        <w:t xml:space="preserve">Framework integrado recomendado</w:t>
      </w:r>
    </w:p>
    <w:p>
      <w:pPr>
        <w:pStyle w:val="FirstParagraph"/>
      </w:pPr>
      <w:r>
        <w:t xml:space="preserve">A arquitetura mais robusta para a Débora é um sistema com</w:t>
      </w:r>
      <w:r>
        <w:t xml:space="preserve"> </w:t>
      </w:r>
      <w:r>
        <w:rPr>
          <w:b/>
          <w:bCs/>
        </w:rPr>
        <w:t xml:space="preserve">gates duros</w:t>
      </w:r>
      <w:r>
        <w:t xml:space="preserve">,</w:t>
      </w:r>
      <w:r>
        <w:t xml:space="preserve"> </w:t>
      </w:r>
      <w:r>
        <w:rPr>
          <w:b/>
          <w:bCs/>
        </w:rPr>
        <w:t xml:space="preserve">score ponderado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roteamento de produto</w:t>
      </w:r>
      <w:r>
        <w:t xml:space="preserve">. Gates duros existem para proteger escopo e coorte; score ponderado existe para evitar decisões “no feeling”; roteamento existe para não perder gente promissora que ainda não está pronta.</w:t>
      </w:r>
    </w:p>
    <w:bookmarkStart w:id="38" w:name="gates-duros-de-escopo"/>
    <w:p>
      <w:pPr>
        <w:pStyle w:val="Heading3"/>
      </w:pPr>
      <w:r>
        <w:t xml:space="preserve">Gates duros de escopo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Passa quando</w:t>
            </w:r>
          </w:p>
        </w:tc>
        <w:tc>
          <w:tcPr/>
          <w:p>
            <w:pPr>
              <w:pStyle w:val="Compact"/>
            </w:pPr>
            <w:r>
              <w:t xml:space="preserve">Falha quando</w:t>
            </w:r>
          </w:p>
        </w:tc>
        <w:tc>
          <w:tcPr/>
          <w:p>
            <w:pPr>
              <w:pStyle w:val="Compact"/>
            </w:pPr>
            <w:r>
              <w:t xml:space="preserve">Decisão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Escopo clínico</w:t>
            </w:r>
          </w:p>
        </w:tc>
        <w:tc>
          <w:tcPr/>
          <w:p>
            <w:pPr>
              <w:pStyle w:val="Compact"/>
            </w:pPr>
            <w:r>
              <w:t xml:space="preserve">Busca processo de mentoria/autoconhecimento aplicado</w:t>
            </w:r>
          </w:p>
        </w:tc>
        <w:tc>
          <w:tcPr/>
          <w:p>
            <w:pPr>
              <w:pStyle w:val="Compact"/>
            </w:pPr>
            <w:r>
              <w:t xml:space="preserve">Pede diagnóstico clínico, terapia ou contenção aguda</w:t>
            </w:r>
          </w:p>
        </w:tc>
        <w:tc>
          <w:tcPr/>
          <w:p>
            <w:pPr>
              <w:pStyle w:val="Compact"/>
            </w:pPr>
            <w:r>
              <w:t xml:space="preserve">Não aderente agora / redirecionar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Escopo sistêmico-familiar</w:t>
            </w:r>
          </w:p>
        </w:tc>
        <w:tc>
          <w:tcPr/>
          <w:p>
            <w:pPr>
              <w:pStyle w:val="Compact"/>
            </w:pPr>
            <w:r>
              <w:t xml:space="preserve">O núcleo é individual e trabalhável no método</w:t>
            </w:r>
          </w:p>
        </w:tc>
        <w:tc>
          <w:tcPr/>
          <w:p>
            <w:pPr>
              <w:pStyle w:val="Compact"/>
            </w:pPr>
            <w:r>
              <w:t xml:space="preserve">O peso maior está em emaranhamento familiar/sistêmico</w:t>
            </w:r>
          </w:p>
        </w:tc>
        <w:tc>
          <w:tcPr/>
          <w:p>
            <w:pPr>
              <w:pStyle w:val="Compact"/>
            </w:pPr>
            <w:r>
              <w:t xml:space="preserve">Redirecionar para trabalho sistêmico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Escopo tático de recolocação</w:t>
            </w:r>
          </w:p>
        </w:tc>
        <w:tc>
          <w:tcPr/>
          <w:p>
            <w:pPr>
              <w:pStyle w:val="Compact"/>
            </w:pPr>
            <w:r>
              <w:t xml:space="preserve">Busca congruência e padrão, não só vaga/emprego</w:t>
            </w:r>
          </w:p>
        </w:tc>
        <w:tc>
          <w:tcPr/>
          <w:p>
            <w:pPr>
              <w:pStyle w:val="Compact"/>
            </w:pPr>
            <w:r>
              <w:t xml:space="preserve">Quer apenas reposicionamento externo ou recolocação</w:t>
            </w:r>
          </w:p>
        </w:tc>
        <w:tc>
          <w:tcPr/>
          <w:p>
            <w:pPr>
              <w:pStyle w:val="Compact"/>
            </w:pPr>
            <w:r>
              <w:t xml:space="preserve">Redirecionar para headhunter/consultoria de carreira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mínima</w:t>
            </w:r>
          </w:p>
        </w:tc>
        <w:tc>
          <w:tcPr/>
          <w:p>
            <w:pPr>
              <w:pStyle w:val="Compact"/>
            </w:pPr>
            <w:r>
              <w:t xml:space="preserve">Demonstra abertura ≥ 4/10 para novas perspectivas</w:t>
            </w:r>
          </w:p>
        </w:tc>
        <w:tc>
          <w:tcPr/>
          <w:p>
            <w:pPr>
              <w:pStyle w:val="Compact"/>
            </w:pPr>
            <w:r>
              <w:t xml:space="preserve">Abertura 0–3/10</w:t>
            </w:r>
          </w:p>
        </w:tc>
        <w:tc>
          <w:tcPr/>
          <w:p>
            <w:pPr>
              <w:pStyle w:val="Compact"/>
            </w:pPr>
            <w:r>
              <w:t xml:space="preserve">Não aderente agora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Responsabilidade mínima</w:t>
            </w:r>
          </w:p>
        </w:tc>
        <w:tc>
          <w:tcPr/>
          <w:p>
            <w:pPr>
              <w:pStyle w:val="Compact"/>
            </w:pPr>
            <w:r>
              <w:t xml:space="preserve">Reconhece alguma participação própria</w:t>
            </w:r>
          </w:p>
        </w:tc>
        <w:tc>
          <w:tcPr/>
          <w:p>
            <w:pPr>
              <w:pStyle w:val="Compact"/>
            </w:pPr>
            <w:r>
              <w:t xml:space="preserve">Culpabiliza só o externo</w:t>
            </w:r>
          </w:p>
        </w:tc>
        <w:tc>
          <w:tcPr/>
          <w:p>
            <w:pPr>
              <w:pStyle w:val="Compact"/>
            </w:pPr>
            <w:r>
              <w:t xml:space="preserve">Não aderente agora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mínima</w:t>
            </w:r>
          </w:p>
        </w:tc>
        <w:tc>
          <w:tcPr/>
          <w:p>
            <w:pPr>
              <w:pStyle w:val="Compact"/>
            </w:pPr>
            <w:r>
              <w:t xml:space="preserve">Tem espaço emocional e prático para um processo</w:t>
            </w:r>
          </w:p>
        </w:tc>
        <w:tc>
          <w:tcPr/>
          <w:p>
            <w:pPr>
              <w:pStyle w:val="Compact"/>
            </w:pPr>
            <w:r>
              <w:t xml:space="preserve">Está em crise aguda ou sem condição de sustentar presença</w:t>
            </w:r>
          </w:p>
        </w:tc>
        <w:tc>
          <w:tcPr/>
          <w:p>
            <w:pPr>
              <w:pStyle w:val="Compact"/>
            </w:pPr>
            <w:r>
              <w:t xml:space="preserve">Amadurecer ou redirecionar</w:t>
            </w:r>
          </w:p>
        </w:tc>
      </w:tr>
    </w:tbl>
    <w:p>
      <w:pPr>
        <w:pStyle w:val="BodyText"/>
      </w:pPr>
      <w:r>
        <w:t xml:space="preserve">Os próprios casos relatados pela Débora reforçam esses gates: Felipe queria solução prática e não emocional; Guilherme tinha opinião forte e cabeça fechada; Kamila parecia precisar de trabalho sistêmico; Arthur buscava solução externa de emprego e seria melhor atendido por headhunter.</w:t>
      </w:r>
      <w:r>
        <w:t xml:space="preserve"> </w:t>
      </w:r>
      <w:hyperlink r:id="rId23">
        <w:r>
          <w:rPr>
            <w:rStyle w:val="Hyperlink"/>
          </w:rPr>
          <w:t xml:space="preserve">[33]</w:t>
        </w:r>
      </w:hyperlink>
    </w:p>
    <w:bookmarkEnd w:id="38"/>
    <w:bookmarkStart w:id="39" w:name="score-ponderado-recomendado"/>
    <w:p>
      <w:pPr>
        <w:pStyle w:val="Heading3"/>
      </w:pPr>
      <w:r>
        <w:t xml:space="preserve">Score ponderado recomendado</w:t>
      </w:r>
    </w:p>
    <w:p>
      <w:pPr>
        <w:pStyle w:val="FirstParagraph"/>
      </w:pPr>
      <w:r>
        <w:rPr>
          <w:b/>
          <w:bCs/>
        </w:rPr>
        <w:t xml:space="preserve">Regra:</w:t>
      </w:r>
      <w:r>
        <w:t xml:space="preserve"> </w:t>
      </w:r>
      <w:r>
        <w:t xml:space="preserve">cada critério recebe nota 0, 1, 2, 3 ou 4. O score final é</w:t>
      </w:r>
      <w:r>
        <w:t xml:space="preserve"> </w:t>
      </w:r>
      <w:r>
        <w:rPr>
          <w:rStyle w:val="VerbatimChar"/>
        </w:rPr>
        <w:t xml:space="preserve">peso x (nota/4)</w:t>
      </w:r>
      <w:r>
        <w:t xml:space="preserve">. Total máximo: 100.</w:t>
      </w:r>
      <w:r>
        <w:br/>
      </w:r>
      <w:r>
        <w:rPr>
          <w:b/>
          <w:bCs/>
        </w:rPr>
        <w:t xml:space="preserve">Importante:</w:t>
      </w:r>
      <w:r>
        <w:t xml:space="preserve"> </w:t>
      </w:r>
      <w:r>
        <w:t xml:space="preserve">os pesos abaixo são recomendação operacional, não um corte científico universal.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O que mede</w:t>
            </w:r>
          </w:p>
        </w:tc>
        <w:tc>
          <w:tcPr/>
          <w:p>
            <w:pPr>
              <w:pStyle w:val="Compact"/>
            </w:pPr>
            <w:r>
              <w:t xml:space="preserve">Âncora 0</w:t>
            </w:r>
          </w:p>
        </w:tc>
        <w:tc>
          <w:tcPr/>
          <w:p>
            <w:pPr>
              <w:pStyle w:val="Compact"/>
            </w:pPr>
            <w:r>
              <w:t xml:space="preserve">Âncora 2</w:t>
            </w:r>
          </w:p>
        </w:tc>
        <w:tc>
          <w:tcPr/>
          <w:p>
            <w:pPr>
              <w:pStyle w:val="Compact"/>
            </w:pPr>
            <w:r>
              <w:t xml:space="preserve">Âncora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 e propósito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Desejo de gerar valor com sentido</w:t>
            </w:r>
          </w:p>
        </w:tc>
        <w:tc>
          <w:tcPr/>
          <w:p>
            <w:pPr>
              <w:pStyle w:val="Compact"/>
            </w:pPr>
            <w:r>
              <w:t xml:space="preserve">Quer só sair do incômodo</w:t>
            </w:r>
          </w:p>
        </w:tc>
        <w:tc>
          <w:tcPr/>
          <w:p>
            <w:pPr>
              <w:pStyle w:val="Compact"/>
            </w:pPr>
            <w:r>
              <w:t xml:space="preserve">Quer mais sentido, mas ainda vago</w:t>
            </w:r>
          </w:p>
        </w:tc>
        <w:tc>
          <w:tcPr/>
          <w:p>
            <w:pPr>
              <w:pStyle w:val="Compact"/>
            </w:pPr>
            <w:r>
              <w:t xml:space="preserve">Nomeia impacto, contribuição e 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 e custo da incongruência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Quanto o modo atual cobra</w:t>
            </w:r>
          </w:p>
        </w:tc>
        <w:tc>
          <w:tcPr/>
          <w:p>
            <w:pPr>
              <w:pStyle w:val="Compact"/>
            </w:pPr>
            <w:r>
              <w:t xml:space="preserve">Dor abstrata</w:t>
            </w:r>
          </w:p>
        </w:tc>
        <w:tc>
          <w:tcPr/>
          <w:p>
            <w:pPr>
              <w:pStyle w:val="Compact"/>
            </w:pPr>
            <w:r>
              <w:t xml:space="preserve">Dor nomeada sem custo claro</w:t>
            </w:r>
          </w:p>
        </w:tc>
        <w:tc>
          <w:tcPr/>
          <w:p>
            <w:pPr>
              <w:pStyle w:val="Compact"/>
            </w:pPr>
            <w:r>
              <w:t xml:space="preserve">Custo claro em energia, relações, valor ou rotina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Consciência de padrão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Percepção de repetição e automatismo</w:t>
            </w:r>
          </w:p>
        </w:tc>
        <w:tc>
          <w:tcPr/>
          <w:p>
            <w:pPr>
              <w:pStyle w:val="Compact"/>
            </w:pPr>
            <w:r>
              <w:t xml:space="preserve">Não vê padrão</w:t>
            </w:r>
          </w:p>
        </w:tc>
        <w:tc>
          <w:tcPr/>
          <w:p>
            <w:pPr>
              <w:pStyle w:val="Compact"/>
            </w:pPr>
            <w:r>
              <w:t xml:space="preserve">Percebe que algo se repete</w:t>
            </w:r>
          </w:p>
        </w:tc>
        <w:tc>
          <w:tcPr/>
          <w:p>
            <w:pPr>
              <w:pStyle w:val="Compact"/>
            </w:pPr>
            <w:r>
              <w:t xml:space="preserve">Nomeia padrão, gatilho e efeito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a novas perspectivas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Disposição para rever crenças e interpretações</w:t>
            </w:r>
          </w:p>
        </w:tc>
        <w:tc>
          <w:tcPr/>
          <w:p>
            <w:pPr>
              <w:pStyle w:val="Compact"/>
            </w:pPr>
            <w:r>
              <w:t xml:space="preserve">Defensivo, fecha</w:t>
            </w:r>
          </w:p>
        </w:tc>
        <w:tc>
          <w:tcPr/>
          <w:p>
            <w:pPr>
              <w:pStyle w:val="Compact"/>
            </w:pPr>
            <w:r>
              <w:t xml:space="preserve">Oscila entre curiosidade e defesa</w:t>
            </w:r>
          </w:p>
        </w:tc>
        <w:tc>
          <w:tcPr/>
          <w:p>
            <w:pPr>
              <w:pStyle w:val="Compact"/>
            </w:pPr>
            <w:r>
              <w:t xml:space="preserve">Busca rever lentes e tolera ambiguidade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Autorresponsabilidade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Capacidade de ver sua participação</w:t>
            </w:r>
          </w:p>
        </w:tc>
        <w:tc>
          <w:tcPr/>
          <w:p>
            <w:pPr>
              <w:pStyle w:val="Compact"/>
            </w:pPr>
            <w:r>
              <w:t xml:space="preserve">Culpa só o externo</w:t>
            </w:r>
          </w:p>
        </w:tc>
        <w:tc>
          <w:tcPr/>
          <w:p>
            <w:pPr>
              <w:pStyle w:val="Compact"/>
            </w:pPr>
            <w:r>
              <w:t xml:space="preserve">Mistura externo+interno</w:t>
            </w:r>
          </w:p>
        </w:tc>
        <w:tc>
          <w:tcPr/>
          <w:p>
            <w:pPr>
              <w:pStyle w:val="Compact"/>
            </w:pPr>
            <w:r>
              <w:t xml:space="preserve">Reconhece explicitamente sua 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emocional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Capacidade de falar e trabalhar o que sente</w:t>
            </w:r>
          </w:p>
        </w:tc>
        <w:tc>
          <w:tcPr/>
          <w:p>
            <w:pPr>
              <w:pStyle w:val="Compact"/>
            </w:pPr>
            <w:r>
              <w:t xml:space="preserve">Rejeita emoção</w:t>
            </w:r>
          </w:p>
        </w:tc>
        <w:tc>
          <w:tcPr/>
          <w:p>
            <w:pPr>
              <w:pStyle w:val="Compact"/>
            </w:pPr>
            <w:r>
              <w:t xml:space="preserve">Tolera falar um pouco</w:t>
            </w:r>
          </w:p>
        </w:tc>
        <w:tc>
          <w:tcPr/>
          <w:p>
            <w:pPr>
              <w:pStyle w:val="Compact"/>
            </w:pPr>
            <w:r>
              <w:t xml:space="preserve">Topa observar, sentir e processar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Execução e cadência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Tendência a aplicar o que faz sentido</w:t>
            </w:r>
          </w:p>
        </w:tc>
        <w:tc>
          <w:tcPr/>
          <w:p>
            <w:pPr>
              <w:pStyle w:val="Compact"/>
            </w:pPr>
            <w:r>
              <w:t xml:space="preserve">Não implementa</w:t>
            </w:r>
          </w:p>
        </w:tc>
        <w:tc>
          <w:tcPr/>
          <w:p>
            <w:pPr>
              <w:pStyle w:val="Compact"/>
            </w:pPr>
            <w:r>
              <w:t xml:space="preserve">Implementa irregularmente</w:t>
            </w:r>
          </w:p>
        </w:tc>
        <w:tc>
          <w:tcPr/>
          <w:p>
            <w:pPr>
              <w:pStyle w:val="Compact"/>
            </w:pPr>
            <w:r>
              <w:t xml:space="preserve">Testa, observa, traz retorno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Postura de investimento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Avaliação por valor/adequação</w:t>
            </w:r>
          </w:p>
        </w:tc>
        <w:tc>
          <w:tcPr/>
          <w:p>
            <w:pPr>
              <w:pStyle w:val="Compact"/>
            </w:pPr>
            <w:r>
              <w:t xml:space="preserve">Só preço e barganha</w:t>
            </w:r>
          </w:p>
        </w:tc>
        <w:tc>
          <w:tcPr/>
          <w:p>
            <w:pPr>
              <w:pStyle w:val="Compact"/>
            </w:pPr>
            <w:r>
              <w:t xml:space="preserve">Está indeciso</w:t>
            </w:r>
          </w:p>
        </w:tc>
        <w:tc>
          <w:tcPr/>
          <w:p>
            <w:pPr>
              <w:pStyle w:val="Compact"/>
            </w:pPr>
            <w:r>
              <w:t xml:space="preserve">Faz avaliação madura de valor e adequação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pie title Distribuição de pesos do score</w:t>
      </w:r>
      <w:r>
        <w:br/>
      </w:r>
      <w:r>
        <w:rPr>
          <w:rStyle w:val="VerbatimChar"/>
        </w:rPr>
        <w:t xml:space="preserve">    "Abertura a novas perspectivas" : 20</w:t>
      </w:r>
      <w:r>
        <w:br/>
      </w:r>
      <w:r>
        <w:rPr>
          <w:rStyle w:val="VerbatimChar"/>
        </w:rPr>
        <w:t xml:space="preserve">    "Impacto e propósito" : 15</w:t>
      </w:r>
      <w:r>
        <w:br/>
      </w:r>
      <w:r>
        <w:rPr>
          <w:rStyle w:val="VerbatimChar"/>
        </w:rPr>
        <w:t xml:space="preserve">    "Consciência de padrão" : 15</w:t>
      </w:r>
      <w:r>
        <w:br/>
      </w:r>
      <w:r>
        <w:rPr>
          <w:rStyle w:val="VerbatimChar"/>
        </w:rPr>
        <w:t xml:space="preserve">    "Autorresponsabilidade" : 15</w:t>
      </w:r>
      <w:r>
        <w:br/>
      </w:r>
      <w:r>
        <w:rPr>
          <w:rStyle w:val="VerbatimChar"/>
        </w:rPr>
        <w:t xml:space="preserve">    "Dor e custo da incongruência" : 10</w:t>
      </w:r>
      <w:r>
        <w:br/>
      </w:r>
      <w:r>
        <w:rPr>
          <w:rStyle w:val="VerbatimChar"/>
        </w:rPr>
        <w:t xml:space="preserve">    "Disponibilidade emocional" : 10</w:t>
      </w:r>
      <w:r>
        <w:br/>
      </w:r>
      <w:r>
        <w:rPr>
          <w:rStyle w:val="VerbatimChar"/>
        </w:rPr>
        <w:t xml:space="preserve">    "Execução e cadência" : 10</w:t>
      </w:r>
      <w:r>
        <w:br/>
      </w:r>
      <w:r>
        <w:rPr>
          <w:rStyle w:val="VerbatimChar"/>
        </w:rPr>
        <w:t xml:space="preserve">    "Postura de investimento" : 5</w:t>
      </w:r>
    </w:p>
    <w:p>
      <w:pPr>
        <w:pStyle w:val="FirstParagraph"/>
      </w:pPr>
      <w:r>
        <w:t xml:space="preserve">Os maiores pesos foram colocados em abertura, consciência de padrão e autorresponsabilidade porque são exatamente os elementos mais coerentes com o método da Débora e com a literatura de readiness/open-mindedness: resultados melhores tendem a aparecer quando há mais prontidão, e a baixa abertura/alto fechamento cognitivo compromete a utilidade de processos que exigem revisão de crenças e tolerância ao não saber.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[30]</w:t>
        </w:r>
      </w:hyperlink>
      <w:r>
        <w:t xml:space="preserve"> </w:t>
      </w:r>
      <w:hyperlink r:id="rId27">
        <w:r>
          <w:rPr>
            <w:rStyle w:val="Hyperlink"/>
          </w:rPr>
          <w:t xml:space="preserve">[11]</w:t>
        </w:r>
      </w:hyperlink>
    </w:p>
    <w:bookmarkEnd w:id="39"/>
    <w:bookmarkStart w:id="41" w:name="escala-obrigatória-de-abertura-010"/>
    <w:p>
      <w:pPr>
        <w:pStyle w:val="Heading3"/>
      </w:pPr>
      <w:r>
        <w:t xml:space="preserve">Escala obrigatória de abertura 0–10</w:t>
      </w:r>
    </w:p>
    <w:p>
      <w:pPr>
        <w:pStyle w:val="FirstParagraph"/>
      </w:pPr>
      <w:r>
        <w:t xml:space="preserve">Esta pergunta deve ser</w:t>
      </w:r>
      <w:r>
        <w:t xml:space="preserve"> </w:t>
      </w:r>
      <w:r>
        <w:rPr>
          <w:b/>
          <w:bCs/>
        </w:rPr>
        <w:t xml:space="preserve">obrigatória</w:t>
      </w:r>
      <w:r>
        <w:t xml:space="preserve"> </w:t>
      </w:r>
      <w:r>
        <w:t xml:space="preserve">em toda call:</w:t>
      </w:r>
    </w:p>
    <w:p>
      <w:pPr>
        <w:pStyle w:val="BlockText"/>
      </w:pPr>
      <w:r>
        <w:t xml:space="preserve">“De 0 a 10, quão aberta você está a considerar que parte importante da solução passa por revisar a forma como você interpreta, sente e age — e não só mudar o externo?”</w:t>
      </w:r>
    </w:p>
    <w:p>
      <w:pPr>
        <w:pStyle w:val="FirstParagraph"/>
      </w:pPr>
      <w:r>
        <w:rPr>
          <w:b/>
          <w:bCs/>
        </w:rPr>
        <w:t xml:space="preserve">Leitura recomendada: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Faixa</w:t>
            </w:r>
          </w:p>
        </w:tc>
        <w:tc>
          <w:tcPr/>
          <w:p>
            <w:pPr>
              <w:pStyle w:val="Compact"/>
            </w:pPr>
            <w:r>
              <w:t xml:space="preserve">Leitura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</w:t>
            </w:r>
          </w:p>
        </w:tc>
        <w:tc>
          <w:tcPr/>
          <w:p>
            <w:pPr>
              <w:pStyle w:val="Compact"/>
            </w:pPr>
            <w:r>
              <w:t xml:space="preserve">Rigidez alta; tende a anti-ICP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Abertura baixa; só entra via produto inicial ou amadurecimento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Abertura moderada; depende do resto do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Boa a alta abertura; forte sinal de prontidão</w:t>
            </w:r>
          </w:p>
        </w:tc>
      </w:tr>
    </w:tbl>
    <w:p>
      <w:pPr>
        <w:pStyle w:val="BodyText"/>
      </w:pPr>
      <w:r>
        <w:t xml:space="preserve">Para qualquer resposta 0–10, use duas perguntas-padrão do readiness ruler adaptado:</w:t>
      </w:r>
      <w:r>
        <w:t xml:space="preserve"> </w:t>
      </w:r>
      <w:r>
        <w:rPr>
          <w:b/>
          <w:bCs/>
        </w:rPr>
        <w:t xml:space="preserve">“Por que não um número menor?”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“O que precisaria acontecer para subir um ponto?”</w:t>
      </w:r>
      <w:r>
        <w:t xml:space="preserve">. Isso extrai motivação, barreiras e qualidade da abertura, sem transformar a autoavaliação em dado solto.</w:t>
      </w:r>
      <w:r>
        <w:t xml:space="preserve"> </w:t>
      </w:r>
      <w:hyperlink r:id="rId40">
        <w:r>
          <w:rPr>
            <w:rStyle w:val="Hyperlink"/>
          </w:rPr>
          <w:t xml:space="preserve">[34]</w:t>
        </w:r>
      </w:hyperlink>
    </w:p>
    <w:bookmarkEnd w:id="41"/>
    <w:bookmarkStart w:id="42" w:name="matriz-de-decisão"/>
    <w:p>
      <w:pPr>
        <w:pStyle w:val="Heading3"/>
      </w:pPr>
      <w:r>
        <w:t xml:space="preserve">Matriz de decisão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Condição operacional</w:t>
            </w:r>
          </w:p>
        </w:tc>
        <w:tc>
          <w:tcPr/>
          <w:p>
            <w:pPr>
              <w:pStyle w:val="Compact"/>
            </w:pPr>
            <w:r>
              <w:t xml:space="preserve">Próximo passo</w:t>
            </w:r>
          </w:p>
        </w:tc>
        <w:tc>
          <w:tcPr/>
          <w:p>
            <w:pPr>
              <w:pStyle w:val="Compact"/>
            </w:pPr>
            <w:r>
              <w:t xml:space="preserve">Requalificação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Entrar</w:t>
            </w:r>
          </w:p>
        </w:tc>
        <w:tc>
          <w:tcPr/>
          <w:p>
            <w:pPr>
              <w:pStyle w:val="Compact"/>
            </w:pPr>
            <w:r>
              <w:t xml:space="preserve">Gates passam, score ≥ 80, abertura ≥ 7</w:t>
            </w:r>
          </w:p>
        </w:tc>
        <w:tc>
          <w:tcPr/>
          <w:p>
            <w:pPr>
              <w:pStyle w:val="Compact"/>
            </w:pPr>
            <w:r>
              <w:t xml:space="preserve">Oferta da mentoria principal</w:t>
            </w:r>
          </w:p>
        </w:tc>
        <w:tc>
          <w:tcPr/>
          <w:p>
            <w:pPr>
              <w:pStyle w:val="Compact"/>
            </w:pPr>
            <w:r>
              <w:t xml:space="preserve">Não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Amadurecer</w:t>
            </w:r>
          </w:p>
        </w:tc>
        <w:tc>
          <w:tcPr/>
          <w:p>
            <w:pPr>
              <w:pStyle w:val="Compact"/>
            </w:pPr>
            <w:r>
              <w:t xml:space="preserve">Score 60–79, ou abertura 5–6, ou boa aderência com pouca sustentação</w:t>
            </w:r>
          </w:p>
        </w:tc>
        <w:tc>
          <w:tcPr/>
          <w:p>
            <w:pPr>
              <w:pStyle w:val="Compact"/>
            </w:pPr>
            <w:r>
              <w:t xml:space="preserve">Conteúdo dirigido + workshop/diagnóstico + prática de 30–45 dias</w:t>
            </w:r>
          </w:p>
        </w:tc>
        <w:tc>
          <w:tcPr/>
          <w:p>
            <w:pPr>
              <w:pStyle w:val="Compact"/>
            </w:pPr>
            <w:r>
              <w:t xml:space="preserve">Requalificar em 30–45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 inicial</w:t>
            </w:r>
          </w:p>
        </w:tc>
        <w:tc>
          <w:tcPr/>
          <w:p>
            <w:pPr>
              <w:pStyle w:val="Compact"/>
            </w:pPr>
            <w:r>
              <w:t xml:space="preserve">Score 40–59 e curiosidade maior que compromisso</w:t>
            </w:r>
          </w:p>
        </w:tc>
        <w:tc>
          <w:tcPr/>
          <w:p>
            <w:pPr>
              <w:pStyle w:val="Compact"/>
            </w:pPr>
            <w:r>
              <w:t xml:space="preserve">Workshop / Mapa de Valor Autêntico / curso introdutório</w:t>
            </w:r>
          </w:p>
        </w:tc>
        <w:tc>
          <w:tcPr/>
          <w:p>
            <w:pPr>
              <w:pStyle w:val="Compact"/>
            </w:pPr>
            <w:r>
              <w:t xml:space="preserve">Requalificar após consumo/aplicação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aderente agora</w:t>
            </w:r>
          </w:p>
        </w:tc>
        <w:tc>
          <w:tcPr/>
          <w:p>
            <w:pPr>
              <w:pStyle w:val="Compact"/>
            </w:pPr>
            <w:r>
              <w:t xml:space="preserve">Score &lt; 40 ou gate duro falhou</w:t>
            </w:r>
          </w:p>
        </w:tc>
        <w:tc>
          <w:tcPr/>
          <w:p>
            <w:pPr>
              <w:pStyle w:val="Compact"/>
            </w:pPr>
            <w:r>
              <w:t xml:space="preserve">Redirecionar ou encerrar com elegância</w:t>
            </w:r>
          </w:p>
        </w:tc>
        <w:tc>
          <w:tcPr/>
          <w:p>
            <w:pPr>
              <w:pStyle w:val="Compact"/>
            </w:pPr>
            <w:r>
              <w:t xml:space="preserve">Só volta se contexto mudar</w:t>
            </w:r>
          </w:p>
        </w:tc>
      </w:tr>
    </w:tbl>
    <w:p>
      <w:pPr>
        <w:pStyle w:val="BodyText"/>
      </w:pPr>
      <w:r>
        <w:t xml:space="preserve">Em termos de portfólio, isso protege a mentoria principal como oferta premium e central, e transforma workshops/produtos iniciais em mecanismo de fila e maturação. O critério não deve ser “fecho quem quer pagar”; deve ser “aloco cada pessoa na profundidade que ela consegue sustentar agora”.</w:t>
      </w:r>
    </w:p>
    <w:bookmarkEnd w:id="42"/>
    <w:bookmarkStart w:id="43" w:name="Xe14deff1e11d713b1e8d4dc417b4507184eae70"/>
    <w:p>
      <w:pPr>
        <w:pStyle w:val="Heading3"/>
      </w:pPr>
      <w:r>
        <w:t xml:space="preserve">Integração com EFT, Mapa de Valor Autêntico e Eneagrama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Papel na qualificação</w:t>
            </w:r>
          </w:p>
        </w:tc>
        <w:tc>
          <w:tcPr/>
          <w:p>
            <w:pPr>
              <w:pStyle w:val="Compact"/>
            </w:pPr>
            <w:r>
              <w:t xml:space="preserve">Papel na entrega</w:t>
            </w:r>
          </w:p>
        </w:tc>
        <w:tc>
          <w:tcPr/>
          <w:p>
            <w:pPr>
              <w:pStyle w:val="Compact"/>
            </w:pPr>
            <w:r>
              <w:t xml:space="preserve">Regra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EFT</w:t>
            </w:r>
          </w:p>
        </w:tc>
        <w:tc>
          <w:tcPr/>
          <w:p>
            <w:pPr>
              <w:pStyle w:val="Compact"/>
            </w:pPr>
            <w:r>
              <w:t xml:space="preserve">Não usar como gancho comercial principal</w:t>
            </w:r>
          </w:p>
        </w:tc>
        <w:tc>
          <w:tcPr/>
          <w:p>
            <w:pPr>
              <w:pStyle w:val="Compact"/>
            </w:pPr>
            <w:r>
              <w:t xml:space="preserve">Liberar carga emocional de bloqueios identificados</w:t>
            </w:r>
          </w:p>
        </w:tc>
        <w:tc>
          <w:tcPr/>
          <w:p>
            <w:pPr>
              <w:pStyle w:val="Compact"/>
            </w:pPr>
            <w:r>
              <w:t xml:space="preserve">Indicado quando há padrão claro + afeto acessível + segurança para trabalhar a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Valor Autêntico</w:t>
            </w:r>
          </w:p>
        </w:tc>
        <w:tc>
          <w:tcPr/>
          <w:p>
            <w:pPr>
              <w:pStyle w:val="Compact"/>
            </w:pPr>
            <w:r>
              <w:t xml:space="preserve">Excelente para produto inicial e diagnóstico de propósito/valor</w:t>
            </w:r>
          </w:p>
        </w:tc>
        <w:tc>
          <w:tcPr/>
          <w:p>
            <w:pPr>
              <w:pStyle w:val="Compact"/>
            </w:pPr>
            <w:r>
              <w:t xml:space="preserve">Estruturar impacto, propósito, entusiasmo, antivalores e necessidades</w:t>
            </w:r>
          </w:p>
        </w:tc>
        <w:tc>
          <w:tcPr/>
          <w:p>
            <w:pPr>
              <w:pStyle w:val="Compact"/>
            </w:pPr>
            <w:r>
              <w:t xml:space="preserve">Usar cedo quando a dor central é valor, propósito, direção e identidade de contribuição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Eneagrama</w:t>
            </w:r>
          </w:p>
        </w:tc>
        <w:tc>
          <w:tcPr/>
          <w:p>
            <w:pPr>
              <w:pStyle w:val="Compact"/>
            </w:pPr>
            <w:r>
              <w:t xml:space="preserve">Ferramenta de hipótese e linguagem de padrão</w:t>
            </w:r>
          </w:p>
        </w:tc>
        <w:tc>
          <w:tcPr/>
          <w:p>
            <w:pPr>
              <w:pStyle w:val="Compact"/>
            </w:pPr>
            <w:r>
              <w:t xml:space="preserve">Mapear defesa, dor evitada, tendência automática e recursos</w:t>
            </w:r>
          </w:p>
        </w:tc>
        <w:tc>
          <w:tcPr/>
          <w:p>
            <w:pPr>
              <w:pStyle w:val="Compact"/>
            </w:pPr>
            <w:r>
              <w:t xml:space="preserve">Nunca usar como rótulo de marketing ou gate de entrada; usar como mapa, não sentença</w:t>
            </w:r>
          </w:p>
        </w:tc>
      </w:tr>
    </w:tbl>
    <w:p>
      <w:pPr>
        <w:pStyle w:val="BodyText"/>
      </w:pPr>
      <w:r>
        <w:t xml:space="preserve">O desenho acima bate com os materiais internos: o EFT aparece como ferramenta de liberação dentro do processo; o Eneagrama aparece como mapa que ajuda a localizar “espinhos”/padrões; e o Mapa de Valor Autêntico organiza Ikigai, entusiasmo, linha da vida, antivalores e medos — o que o torna especialmente útil para o eixo propósito-valor-trabalho.</w:t>
      </w:r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hyperlink r:id="rId31">
        <w:r>
          <w:rPr>
            <w:rStyle w:val="Hyperlink"/>
          </w:rPr>
          <w:t xml:space="preserve">[19]</w:t>
        </w:r>
      </w:hyperlink>
      <w:r>
        <w:t xml:space="preserve"> </w:t>
      </w:r>
      <w:hyperlink r:id="rId31">
        <w:r>
          <w:rPr>
            <w:rStyle w:val="Hyperlink"/>
          </w:rPr>
          <w:t xml:space="preserve">[36]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A[Artefato 05&lt;br/&gt;Conteúdo e Posicionamento] --&gt; B[Lead]</w:t>
      </w:r>
      <w:r>
        <w:br/>
      </w:r>
      <w:r>
        <w:rPr>
          <w:rStyle w:val="VerbatimChar"/>
        </w:rPr>
        <w:t xml:space="preserve">    B --&gt; C[Artefato 04&lt;br/&gt;Call de Qualificação]</w:t>
      </w:r>
      <w:r>
        <w:br/>
      </w:r>
      <w:r>
        <w:rPr>
          <w:rStyle w:val="VerbatimChar"/>
        </w:rPr>
        <w:t xml:space="preserve">    C --&gt; D[Artefato 01&lt;br/&gt;Gates + Score]</w:t>
      </w:r>
      <w:r>
        <w:br/>
      </w:r>
      <w:r>
        <w:rPr>
          <w:rStyle w:val="VerbatimChar"/>
        </w:rPr>
        <w:t xml:space="preserve">    D --&gt;|&gt;=80 e gates OK| E[Mentoria principal]</w:t>
      </w:r>
      <w:r>
        <w:br/>
      </w:r>
      <w:r>
        <w:rPr>
          <w:rStyle w:val="VerbatimChar"/>
        </w:rPr>
        <w:t xml:space="preserve">    D --&gt;|60-79| F[Amadurecer]</w:t>
      </w:r>
      <w:r>
        <w:br/>
      </w:r>
      <w:r>
        <w:rPr>
          <w:rStyle w:val="VerbatimChar"/>
        </w:rPr>
        <w:t xml:space="preserve">    D --&gt;|40-59| G[Produto inicial]</w:t>
      </w:r>
      <w:r>
        <w:br/>
      </w:r>
      <w:r>
        <w:rPr>
          <w:rStyle w:val="VerbatimChar"/>
        </w:rPr>
        <w:t xml:space="preserve">    D --&gt;|Gate falhou ou &lt;40| H[Não aderente / Redirecionar]</w:t>
      </w:r>
      <w:r>
        <w:br/>
      </w:r>
      <w:r>
        <w:rPr>
          <w:rStyle w:val="VerbatimChar"/>
        </w:rPr>
        <w:t xml:space="preserve">    E --&gt; I[EFT + Eneagrama + Mapa]</w:t>
      </w:r>
      <w:r>
        <w:br/>
      </w:r>
      <w:r>
        <w:rPr>
          <w:rStyle w:val="VerbatimChar"/>
        </w:rPr>
        <w:t xml:space="preserve">    F --&gt; J[Conteúdo guiado + Workshop + Requalificação]</w:t>
      </w:r>
      <w:r>
        <w:br/>
      </w:r>
      <w:r>
        <w:rPr>
          <w:rStyle w:val="VerbatimChar"/>
        </w:rPr>
        <w:t xml:space="preserve">    G --&gt; K[Workshop / Mapa / Curso]</w:t>
      </w:r>
      <w:r>
        <w:br/>
      </w:r>
      <w:r>
        <w:rPr>
          <w:rStyle w:val="VerbatimChar"/>
        </w:rPr>
        <w:t xml:space="preserve">    E --&gt; L[Artefato 06&lt;br/&gt;Cockpit KPI]</w:t>
      </w:r>
      <w:r>
        <w:br/>
      </w:r>
      <w:r>
        <w:rPr>
          <w:rStyle w:val="VerbatimChar"/>
        </w:rPr>
        <w:t xml:space="preserve">    J --&gt; L</w:t>
      </w:r>
      <w:r>
        <w:br/>
      </w:r>
      <w:r>
        <w:rPr>
          <w:rStyle w:val="VerbatimChar"/>
        </w:rPr>
        <w:t xml:space="preserve">    K --&gt; L</w:t>
      </w:r>
      <w:r>
        <w:br/>
      </w:r>
      <w:r>
        <w:rPr>
          <w:rStyle w:val="VerbatimChar"/>
        </w:rPr>
        <w:t xml:space="preserve">    H --&gt; L</w:t>
      </w:r>
    </w:p>
    <w:p>
      <w:pPr>
        <w:pStyle w:val="FirstParagraph"/>
      </w:pPr>
      <w:r>
        <w:t xml:space="preserve">A lógica do fluxo combina o método interno da Débora com frameworks externos de qualificação: conteúdo atrai e filtra, call descobre contexto/dor/impacto/decisão, score disciplina a decisão, e o cockpit mede qualidade e evolução da fila.</w:t>
      </w:r>
      <w:r>
        <w:t xml:space="preserve"> </w:t>
      </w:r>
      <w:hyperlink r:id="rId25">
        <w:r>
          <w:rPr>
            <w:rStyle w:val="Hyperlink"/>
          </w:rPr>
          <w:t xml:space="preserve">[37]</w:t>
        </w:r>
      </w:hyperlink>
    </w:p>
    <w:bookmarkEnd w:id="43"/>
    <w:bookmarkEnd w:id="44"/>
    <w:bookmarkStart w:id="48" w:name="script-diagnóstico-e-exemplos-de-falas"/>
    <w:p>
      <w:pPr>
        <w:pStyle w:val="Heading2"/>
      </w:pPr>
      <w:r>
        <w:t xml:space="preserve">Script diagnóstico e exemplos de falas</w:t>
      </w:r>
    </w:p>
    <w:p>
      <w:pPr>
        <w:pStyle w:val="FirstParagraph"/>
      </w:pPr>
      <w:r>
        <w:t xml:space="preserve">A call deve funcionar como uma</w:t>
      </w:r>
      <w:r>
        <w:t xml:space="preserve"> </w:t>
      </w:r>
      <w:r>
        <w:rPr>
          <w:b/>
          <w:bCs/>
        </w:rPr>
        <w:t xml:space="preserve">SPICED-lite adaptada ao método da Débora</w:t>
      </w:r>
      <w:r>
        <w:t xml:space="preserve">: começar pelo contexto e pela dor, passar por impacto e urgência, e então aprofundar em padrão, abertura e autorresponsabilidade. Isso permite qualificar sem virar interrogatório e sem vender solução antes de entender aderência.</w:t>
      </w:r>
      <w:r>
        <w:t xml:space="preserve"> </w:t>
      </w:r>
      <w:hyperlink r:id="rId25">
        <w:r>
          <w:rPr>
            <w:rStyle w:val="Hyperlink"/>
          </w:rPr>
          <w:t xml:space="preserve">[38]</w:t>
        </w:r>
      </w:hyperlink>
    </w:p>
    <w:bookmarkStart w:id="45" w:name="script-recomendado-de-qualificação"/>
    <w:p>
      <w:pPr>
        <w:pStyle w:val="Heading3"/>
      </w:pPr>
      <w:r>
        <w:t xml:space="preserve">Script recomendado de qualificação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Pergunta-base</w:t>
            </w:r>
          </w:p>
        </w:tc>
        <w:tc>
          <w:tcPr/>
          <w:p>
            <w:pPr>
              <w:pStyle w:val="Compact"/>
            </w:pPr>
            <w:r>
              <w:t xml:space="preserve">O que observar</w:t>
            </w:r>
          </w:p>
        </w:tc>
        <w:tc>
          <w:tcPr/>
          <w:p>
            <w:pPr>
              <w:pStyle w:val="Compact"/>
            </w:pPr>
            <w:r>
              <w:t xml:space="preserve">Campo do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 e propósito</w:t>
            </w:r>
          </w:p>
        </w:tc>
        <w:tc>
          <w:tcPr/>
          <w:p>
            <w:pPr>
              <w:pStyle w:val="Compact"/>
            </w:pPr>
            <w:r>
              <w:t xml:space="preserve">“Que tipo de impacto ou valor você quer gerar hoje — e o que no jeito atual já não vibra com você?”</w:t>
            </w:r>
          </w:p>
        </w:tc>
        <w:tc>
          <w:tcPr/>
          <w:p>
            <w:pPr>
              <w:pStyle w:val="Compact"/>
            </w:pPr>
            <w:r>
              <w:t xml:space="preserve">Se a pessoa fala de contribuição, sentido e custo da incongruência</w:t>
            </w:r>
          </w:p>
        </w:tc>
        <w:tc>
          <w:tcPr/>
          <w:p>
            <w:pPr>
              <w:pStyle w:val="Compact"/>
            </w:pPr>
            <w:r>
              <w:t xml:space="preserve">Impacto e 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 e custo</w:t>
            </w:r>
          </w:p>
        </w:tc>
        <w:tc>
          <w:tcPr/>
          <w:p>
            <w:pPr>
              <w:pStyle w:val="Compact"/>
            </w:pPr>
            <w:r>
              <w:t xml:space="preserve">“O que esse jeito atual vem cobrando de você em energia, relações, valor ou rotina?”</w:t>
            </w:r>
          </w:p>
        </w:tc>
        <w:tc>
          <w:tcPr/>
          <w:p>
            <w:pPr>
              <w:pStyle w:val="Compact"/>
            </w:pPr>
            <w:r>
              <w:t xml:space="preserve">Se o custo é real e concreto</w:t>
            </w:r>
          </w:p>
        </w:tc>
        <w:tc>
          <w:tcPr/>
          <w:p>
            <w:pPr>
              <w:pStyle w:val="Compact"/>
            </w:pPr>
            <w:r>
              <w:t xml:space="preserve">Dor e custo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“O que tende a se repetir, mesmo quando o contexto muda?”</w:t>
            </w:r>
          </w:p>
        </w:tc>
        <w:tc>
          <w:tcPr/>
          <w:p>
            <w:pPr>
              <w:pStyle w:val="Compact"/>
            </w:pPr>
            <w:r>
              <w:t xml:space="preserve">Se a pessoa reconhece repetição, defesa ou automatismo</w:t>
            </w:r>
          </w:p>
        </w:tc>
        <w:tc>
          <w:tcPr/>
          <w:p>
            <w:pPr>
              <w:pStyle w:val="Compact"/>
            </w:pPr>
            <w:r>
              <w:t xml:space="preserve">Consciência de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 interna</w:t>
            </w:r>
          </w:p>
        </w:tc>
        <w:tc>
          <w:tcPr/>
          <w:p>
            <w:pPr>
              <w:pStyle w:val="Compact"/>
            </w:pPr>
            <w:r>
              <w:t xml:space="preserve">“O que você já tentou mudar do lado de fora e por que sente que ainda não resolveu?”</w:t>
            </w:r>
          </w:p>
        </w:tc>
        <w:tc>
          <w:tcPr/>
          <w:p>
            <w:pPr>
              <w:pStyle w:val="Compact"/>
            </w:pPr>
            <w:r>
              <w:t xml:space="preserve">Se surge a percepção de que o externo não basta</w:t>
            </w:r>
          </w:p>
        </w:tc>
        <w:tc>
          <w:tcPr/>
          <w:p>
            <w:pPr>
              <w:pStyle w:val="Compact"/>
            </w:pPr>
            <w:r>
              <w:t xml:space="preserve">Autorresponsabilidade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</w:t>
            </w:r>
          </w:p>
        </w:tc>
        <w:tc>
          <w:tcPr/>
          <w:p>
            <w:pPr>
              <w:pStyle w:val="Compact"/>
            </w:pPr>
            <w:r>
              <w:t xml:space="preserve">“De 0 a 10, quão aberta você está a revisar crenças, interpretações e padrões — e não só buscar uma solução prática?”</w:t>
            </w:r>
          </w:p>
        </w:tc>
        <w:tc>
          <w:tcPr/>
          <w:p>
            <w:pPr>
              <w:pStyle w:val="Compact"/>
            </w:pPr>
            <w:r>
              <w:t xml:space="preserve">Número, qualidade da resposta, defesa, curiosidade</w:t>
            </w:r>
          </w:p>
        </w:tc>
        <w:tc>
          <w:tcPr/>
          <w:p>
            <w:pPr>
              <w:pStyle w:val="Compact"/>
            </w:pPr>
            <w:r>
              <w:t xml:space="preserve">Abertura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Profundidade emocional</w:t>
            </w:r>
          </w:p>
        </w:tc>
        <w:tc>
          <w:tcPr/>
          <w:p>
            <w:pPr>
              <w:pStyle w:val="Compact"/>
            </w:pPr>
            <w:r>
              <w:t xml:space="preserve">“Quando esse tema aperta, você topa olhar o que sente ou quer evitar essa parte?”</w:t>
            </w:r>
          </w:p>
        </w:tc>
        <w:tc>
          <w:tcPr/>
          <w:p>
            <w:pPr>
              <w:pStyle w:val="Compact"/>
            </w:pPr>
            <w:r>
              <w:t xml:space="preserve">Tolerância a emoção e desconforto</w:t>
            </w:r>
          </w:p>
        </w:tc>
        <w:tc>
          <w:tcPr/>
          <w:p>
            <w:pPr>
              <w:pStyle w:val="Compact"/>
            </w:pPr>
            <w:r>
              <w:t xml:space="preserve">Disponibilidade emocional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Execução</w:t>
            </w:r>
          </w:p>
        </w:tc>
        <w:tc>
          <w:tcPr/>
          <w:p>
            <w:pPr>
              <w:pStyle w:val="Compact"/>
            </w:pPr>
            <w:r>
              <w:t xml:space="preserve">“Quando algo faz sentido para você, o que costuma acontecer na prática?”</w:t>
            </w:r>
          </w:p>
        </w:tc>
        <w:tc>
          <w:tcPr/>
          <w:p>
            <w:pPr>
              <w:pStyle w:val="Compact"/>
            </w:pPr>
            <w:r>
              <w:t xml:space="preserve">Históricos de implementação vs. paralisia total</w:t>
            </w:r>
          </w:p>
        </w:tc>
        <w:tc>
          <w:tcPr/>
          <w:p>
            <w:pPr>
              <w:pStyle w:val="Compact"/>
            </w:pPr>
            <w:r>
              <w:t xml:space="preserve">Execução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</w:pPr>
            <w:r>
              <w:t xml:space="preserve">“Como você costuma decidir entrar em processos importantes de desenvolvimento?”</w:t>
            </w:r>
          </w:p>
        </w:tc>
        <w:tc>
          <w:tcPr/>
          <w:p>
            <w:pPr>
              <w:pStyle w:val="Compact"/>
            </w:pPr>
            <w:r>
              <w:t xml:space="preserve">Se decide por adequação/valor ou só por preço</w:t>
            </w:r>
          </w:p>
        </w:tc>
        <w:tc>
          <w:tcPr/>
          <w:p>
            <w:pPr>
              <w:pStyle w:val="Compact"/>
            </w:pPr>
            <w:r>
              <w:t xml:space="preserve">Postura de investimento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Fechamento</w:t>
            </w:r>
          </w:p>
        </w:tc>
        <w:tc>
          <w:tcPr/>
          <w:p>
            <w:pPr>
              <w:pStyle w:val="Compact"/>
            </w:pPr>
            <w:r>
              <w:t xml:space="preserve">“Pelo que ouvi, faz mais sentido te indicar [mentoria / amadurecimento / produto inicial / redirecionamento]. Posso te explicar por quê?”</w:t>
            </w:r>
          </w:p>
        </w:tc>
        <w:tc>
          <w:tcPr/>
          <w:p>
            <w:pPr>
              <w:pStyle w:val="Compact"/>
            </w:pPr>
            <w:r>
              <w:t xml:space="preserve">Aderência ao roteamento e maturidade diante do não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</w:tbl>
    <w:bookmarkEnd w:id="45"/>
    <w:bookmarkStart w:id="46" w:name="Xcd08b9918a4faa282a49ae37600f549d0ed51ad"/>
    <w:p>
      <w:pPr>
        <w:pStyle w:val="Heading3"/>
      </w:pPr>
      <w:r>
        <w:t xml:space="preserve">Perguntas de aprofundamento obrigatórias na escala 0–10</w:t>
      </w:r>
    </w:p>
    <w:p>
      <w:pPr>
        <w:pStyle w:val="FirstParagraph"/>
      </w:pPr>
      <w:r>
        <w:t xml:space="preserve">Sempre que a pessoa responder a abertura 0–10:</w:t>
      </w:r>
    </w:p>
    <w:p>
      <w:pPr>
        <w:pStyle w:val="Compact"/>
        <w:numPr>
          <w:ilvl w:val="0"/>
          <w:numId w:val="1001"/>
        </w:numPr>
      </w:pPr>
      <w:r>
        <w:t xml:space="preserve">“Por que não um número menor?”</w:t>
      </w:r>
    </w:p>
    <w:p>
      <w:pPr>
        <w:pStyle w:val="Compact"/>
        <w:numPr>
          <w:ilvl w:val="0"/>
          <w:numId w:val="1001"/>
        </w:numPr>
      </w:pPr>
      <w:r>
        <w:t xml:space="preserve">“O que precisaria acontecer para subir um ponto?”</w:t>
      </w:r>
    </w:p>
    <w:p>
      <w:pPr>
        <w:pStyle w:val="Compact"/>
        <w:numPr>
          <w:ilvl w:val="0"/>
          <w:numId w:val="1001"/>
        </w:numPr>
      </w:pPr>
      <w:r>
        <w:t xml:space="preserve">“O que, em você, ainda quer defender o jeito antigo de funcionar?”</w:t>
      </w:r>
    </w:p>
    <w:p>
      <w:pPr>
        <w:pStyle w:val="Compact"/>
        <w:numPr>
          <w:ilvl w:val="0"/>
          <w:numId w:val="1001"/>
        </w:numPr>
      </w:pPr>
      <w:r>
        <w:t xml:space="preserve">“Se eu te dissesse que parte da solução depende de sentir algo desconfortável e agir diferente, isso te aproxima ou te afasta?”</w:t>
      </w:r>
    </w:p>
    <w:bookmarkEnd w:id="46"/>
    <w:bookmarkStart w:id="47" w:name="exemplos-de-falas-do-lead"/>
    <w:p>
      <w:pPr>
        <w:pStyle w:val="Heading3"/>
      </w:pPr>
      <w:r>
        <w:t xml:space="preserve">Exemplos de falas do lead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 provável</w:t>
            </w:r>
          </w:p>
        </w:tc>
        <w:tc>
          <w:tcPr/>
          <w:p>
            <w:pPr>
              <w:pStyle w:val="Compact"/>
            </w:pPr>
            <w:r>
              <w:t xml:space="preserve">Falas típicas</w:t>
            </w:r>
          </w:p>
        </w:tc>
        <w:tc>
          <w:tcPr/>
          <w:p>
            <w:pPr>
              <w:pStyle w:val="Compact"/>
            </w:pPr>
            <w:r>
              <w:t xml:space="preserve">Leitura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Entrar</w:t>
            </w:r>
          </w:p>
        </w:tc>
        <w:tc>
          <w:tcPr/>
          <w:p>
            <w:pPr>
              <w:pStyle w:val="Compact"/>
            </w:pPr>
            <w:r>
              <w:t xml:space="preserve">“Eu já troquei contexto e o padrão volta.” / “Não quero só mudar de trabalho; quero entender por que me traio para manter desempenho.” / “Se fizer sentido, eu aplico.”</w:t>
            </w:r>
          </w:p>
        </w:tc>
        <w:tc>
          <w:tcPr/>
          <w:p>
            <w:pPr>
              <w:pStyle w:val="Compact"/>
            </w:pPr>
            <w:r>
              <w:t xml:space="preserve">Consciência + abertura + execução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Amadurecer</w:t>
            </w:r>
          </w:p>
        </w:tc>
        <w:tc>
          <w:tcPr/>
          <w:p>
            <w:pPr>
              <w:pStyle w:val="Compact"/>
            </w:pPr>
            <w:r>
              <w:t xml:space="preserve">“Eu sei que tem algo em mim, mas ainda preciso começar por algo mais leve.” / “Quero olhar para dentro, mas não sei se sustento um mergulho agora.”</w:t>
            </w:r>
          </w:p>
        </w:tc>
        <w:tc>
          <w:tcPr/>
          <w:p>
            <w:pPr>
              <w:pStyle w:val="Compact"/>
            </w:pPr>
            <w:r>
              <w:t xml:space="preserve">Boa aderência, pouca sustentação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 inicial</w:t>
            </w:r>
          </w:p>
        </w:tc>
        <w:tc>
          <w:tcPr/>
          <w:p>
            <w:pPr>
              <w:pStyle w:val="Compact"/>
            </w:pPr>
            <w:r>
              <w:t xml:space="preserve">“Quero clareza sobre meu valor e propósito antes de me comprometer com algo maior.” / “Tenho curiosidade por autoconhecimento, mas ainda não quero algo profundo.”</w:t>
            </w:r>
          </w:p>
        </w:tc>
        <w:tc>
          <w:tcPr/>
          <w:p>
            <w:pPr>
              <w:pStyle w:val="Compact"/>
            </w:pPr>
            <w:r>
              <w:t xml:space="preserve">Curiosidade real, prontidão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aderente agora</w:t>
            </w:r>
          </w:p>
        </w:tc>
        <w:tc>
          <w:tcPr/>
          <w:p>
            <w:pPr>
              <w:pStyle w:val="Compact"/>
            </w:pPr>
            <w:r>
              <w:t xml:space="preserve">“Meu problema é meu chefe / o mercado / minha família; se isso mudar, resolve.” / “Não vejo por que mexer em emoção.” / “Já sei como penso; preciso só de um passo a passo.” / “Não tenho tempo para praticar nada agora.”</w:t>
            </w:r>
          </w:p>
        </w:tc>
        <w:tc>
          <w:tcPr/>
          <w:p>
            <w:pPr>
              <w:pStyle w:val="Compact"/>
            </w:pPr>
            <w:r>
              <w:t xml:space="preserve">Externalização, rigidez, baixa aderência</w:t>
            </w:r>
          </w:p>
        </w:tc>
      </w:tr>
    </w:tbl>
    <w:p>
      <w:pPr>
        <w:pStyle w:val="BodyText"/>
      </w:pPr>
      <w:r>
        <w:t xml:space="preserve">Essas falas são coerentes com os sinais internos documentados pela Débora: prontos tendem a perceber que a solução começa neles, são curiosos, gostam de aprender e executam; resistentes reclamam, julgam, culpam o externo, acham que dinheiro resolve tudo ou que só soluções práticas bastam.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bookmarkEnd w:id="47"/>
    <w:bookmarkEnd w:id="48"/>
    <w:bookmarkStart w:id="55" w:name="governança-playbook-e-implementação"/>
    <w:p>
      <w:pPr>
        <w:pStyle w:val="Heading2"/>
      </w:pPr>
      <w:r>
        <w:t xml:space="preserve">Governança, playbook e implementação</w:t>
      </w:r>
    </w:p>
    <w:p>
      <w:pPr>
        <w:pStyle w:val="FirstParagraph"/>
      </w:pPr>
      <w:r>
        <w:t xml:space="preserve">Um sistema assim só funciona se virar rotina e memória operacional. Frameworks como o SPICED enfatizam linguagem compartilhada e handoff de contexto; Salesforce enfatiza scoring objetivo e atualização de dados; e os documentos internos da Débora mostram que a qualidade da entrega depende de não misturar mentoria profunda com casos fora de escopo. Portanto, governança aqui não é “administração”: é proteção de método.</w:t>
      </w:r>
      <w:r>
        <w:t xml:space="preserve"> </w:t>
      </w: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Start w:id="50" w:name="kpis-frequência-e-owners"/>
    <w:p>
      <w:pPr>
        <w:pStyle w:val="Heading3"/>
      </w:pPr>
      <w:r>
        <w:t xml:space="preserve">KPIs, frequência e owners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Owner primário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Meta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leads com gates + score + frase-evidência completos</w:t>
            </w:r>
          </w:p>
        </w:tc>
        <w:tc>
          <w:tcPr/>
          <w:p>
            <w:pPr>
              <w:pStyle w:val="Compact"/>
            </w:pPr>
            <w:r>
              <w:t xml:space="preserve">Operação/Continuum</w:t>
            </w:r>
          </w:p>
        </w:tc>
        <w:tc>
          <w:tcPr/>
          <w:p>
            <w:pPr>
              <w:pStyle w:val="Compact"/>
            </w:pPr>
            <w: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acerto retrospectivo da classificação</w:t>
            </w:r>
          </w:p>
        </w:tc>
        <w:tc>
          <w:tcPr/>
          <w:p>
            <w:pPr>
              <w:pStyle w:val="Compact"/>
            </w:pPr>
            <w:r>
              <w:t xml:space="preserve">Débora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 por faixa de score</w:t>
            </w:r>
          </w:p>
        </w:tc>
        <w:tc>
          <w:tcPr/>
          <w:p>
            <w:pPr>
              <w:pStyle w:val="Compact"/>
            </w:pPr>
            <w:r>
              <w:t xml:space="preserve">Comercial/ops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Crescente nas faixas altas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amadurecer → mentoria em até 90 dias</w:t>
            </w:r>
          </w:p>
        </w:tc>
        <w:tc>
          <w:tcPr/>
          <w:p>
            <w:pPr>
              <w:pStyle w:val="Compact"/>
            </w:pPr>
            <w:r>
              <w:t xml:space="preserve">Comercial/ops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Acompanhar coorte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redirecionamentos corretos</w:t>
            </w:r>
          </w:p>
        </w:tc>
        <w:tc>
          <w:tcPr/>
          <w:p>
            <w:pPr>
              <w:pStyle w:val="Compact"/>
            </w:pPr>
            <w:r>
              <w:t xml:space="preserve">Débora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médio entre lead e decisão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≤ 72h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Retenção/conclusão da coorte principal</w:t>
            </w:r>
          </w:p>
        </w:tc>
        <w:tc>
          <w:tcPr/>
          <w:p>
            <w:pPr>
              <w:pStyle w:val="Compact"/>
            </w:pPr>
            <w:r>
              <w:t xml:space="preserve">Débora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Alta e estável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calls com abertura 0–10 registrada</w:t>
            </w:r>
          </w:p>
        </w:tc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Diário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50"/>
    <w:bookmarkStart w:id="51" w:name="checklist-diário-curto"/>
    <w:p>
      <w:pPr>
        <w:pStyle w:val="Heading3"/>
      </w:pPr>
      <w:r>
        <w:t xml:space="preserve">Checklist diário curto</w:t>
      </w:r>
    </w:p>
    <w:p>
      <w:pPr>
        <w:pStyle w:val="Compact"/>
        <w:numPr>
          <w:ilvl w:val="0"/>
          <w:numId w:val="1002"/>
        </w:numPr>
      </w:pPr>
      <w:r>
        <w:t xml:space="preserve">[ ] Revisar leads novos e calls pendentes.</w:t>
      </w:r>
    </w:p>
    <w:p>
      <w:pPr>
        <w:pStyle w:val="Compact"/>
        <w:numPr>
          <w:ilvl w:val="0"/>
          <w:numId w:val="1002"/>
        </w:numPr>
      </w:pPr>
      <w:r>
        <w:t xml:space="preserve">[ ] Aplicar gates duros antes de “explicar a oferta”.</w:t>
      </w:r>
    </w:p>
    <w:p>
      <w:pPr>
        <w:pStyle w:val="Compact"/>
        <w:numPr>
          <w:ilvl w:val="0"/>
          <w:numId w:val="1002"/>
        </w:numPr>
      </w:pPr>
      <w:r>
        <w:t xml:space="preserve">[ ] Registrar uma frase-evidência para cada critério do score.</w:t>
      </w:r>
    </w:p>
    <w:p>
      <w:pPr>
        <w:pStyle w:val="Compact"/>
        <w:numPr>
          <w:ilvl w:val="0"/>
          <w:numId w:val="1002"/>
        </w:numPr>
      </w:pPr>
      <w:r>
        <w:t xml:space="preserve">[ ] Definir uma única decisão por lead: entrar, amadurecer, produto inicial, não aderente.</w:t>
      </w:r>
    </w:p>
    <w:p>
      <w:pPr>
        <w:pStyle w:val="Compact"/>
        <w:numPr>
          <w:ilvl w:val="0"/>
          <w:numId w:val="1002"/>
        </w:numPr>
      </w:pPr>
      <w:r>
        <w:t xml:space="preserve">[ ] Agendar o próximo passo no mesmo dia.</w:t>
      </w:r>
    </w:p>
    <w:p>
      <w:pPr>
        <w:pStyle w:val="Compact"/>
        <w:numPr>
          <w:ilvl w:val="0"/>
          <w:numId w:val="1002"/>
        </w:numPr>
      </w:pPr>
      <w:r>
        <w:t xml:space="preserve">[ ] Atualizar cockpit com score, rota e data de requalificação.</w:t>
      </w:r>
    </w:p>
    <w:p>
      <w:pPr>
        <w:pStyle w:val="Compact"/>
        <w:numPr>
          <w:ilvl w:val="0"/>
          <w:numId w:val="1002"/>
        </w:numPr>
      </w:pPr>
      <w:r>
        <w:t xml:space="preserve">[ ] Revisar dois casos limítrofes da semana para calibrar critérios.</w:t>
      </w:r>
    </w:p>
    <w:bookmarkEnd w:id="51"/>
    <w:bookmarkStart w:id="52" w:name="X3351e64d2bf62062a2e135d7cff2ead8bee2122"/>
    <w:p>
      <w:pPr>
        <w:pStyle w:val="Heading3"/>
      </w:pPr>
      <w:r>
        <w:t xml:space="preserve">Playbook de uma página para calls de qualificação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franca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Alinhar que a call serve para verificar fit, não para convencer a qualquer custo</w:t>
            </w:r>
          </w:p>
        </w:tc>
        <w:tc>
          <w:tcPr/>
          <w:p>
            <w:pPr>
              <w:pStyle w:val="Compact"/>
            </w:pPr>
            <w:r>
              <w:t xml:space="preserve">Permissão para perguntas diretas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 e impacto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Entender trabalho, contribuição, propósito e desconforto atual</w:t>
            </w:r>
          </w:p>
        </w:tc>
        <w:tc>
          <w:tcPr/>
          <w:p>
            <w:pPr>
              <w:pStyle w:val="Compact"/>
            </w:pPr>
            <w:r>
              <w:t xml:space="preserve">Hipótese de tese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Padrão e custo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Entender repetição, tentativas anteriores, custo da incongruência</w:t>
            </w:r>
          </w:p>
        </w:tc>
        <w:tc>
          <w:tcPr/>
          <w:p>
            <w:pPr>
              <w:pStyle w:val="Compact"/>
            </w:pPr>
            <w:r>
              <w:t xml:space="preserve">Evidência de dor e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responsabilidade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Aplicar escala 0–10 e checar autorresponsabilidade</w:t>
            </w:r>
          </w:p>
        </w:tc>
        <w:tc>
          <w:tcPr/>
          <w:p>
            <w:pPr>
              <w:pStyle w:val="Compact"/>
            </w:pPr>
            <w:r>
              <w:t xml:space="preserve">Nota-chave e red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Execução e decisão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t xml:space="preserve">Ver histórico de prática, disponibilidade e postura de investimento</w:t>
            </w:r>
          </w:p>
        </w:tc>
        <w:tc>
          <w:tcPr/>
          <w:p>
            <w:pPr>
              <w:pStyle w:val="Compact"/>
            </w:pPr>
            <w:r>
              <w:t xml:space="preserve">Score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Dar uma rota unívoca com racional claro</w:t>
            </w:r>
          </w:p>
        </w:tc>
        <w:tc>
          <w:tcPr/>
          <w:p>
            <w:pPr>
              <w:pStyle w:val="Compact"/>
            </w:pPr>
            <w:r>
              <w:t xml:space="preserve">Próximo passo definido</w:t>
            </w:r>
          </w:p>
        </w:tc>
      </w:tr>
    </w:tbl>
    <w:bookmarkEnd w:id="52"/>
    <w:bookmarkStart w:id="53" w:name="integração-com-os-seis-artefatos"/>
    <w:p>
      <w:pPr>
        <w:pStyle w:val="Heading3"/>
      </w:pPr>
      <w:r>
        <w:t xml:space="preserve">Integração com os seis artefatos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Como o sistema entra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ICP e Prontidão</w:t>
            </w:r>
          </w:p>
        </w:tc>
        <w:tc>
          <w:tcPr/>
          <w:p>
            <w:pPr>
              <w:pStyle w:val="Compact"/>
            </w:pPr>
            <w:r>
              <w:t xml:space="preserve">Gates, score, falas, critérios, matriz de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 da Oferta e Mentoria</w:t>
            </w:r>
          </w:p>
        </w:tc>
        <w:tc>
          <w:tcPr/>
          <w:p>
            <w:pPr>
              <w:pStyle w:val="Compact"/>
            </w:pPr>
            <w:r>
              <w:t xml:space="preserve">Linguagem de dores, transformação, limites e promessas compatíveis com o ICP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Funil de Consciência e Produto Inicial</w:t>
            </w:r>
          </w:p>
        </w:tc>
        <w:tc>
          <w:tcPr/>
          <w:p>
            <w:pPr>
              <w:pStyle w:val="Compact"/>
            </w:pPr>
            <w:r>
              <w:t xml:space="preserve">Roteamento de amadurecer/produto inicial e gatilhos de requalificação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Protocolo de Qualificação Comercial</w:t>
            </w:r>
          </w:p>
        </w:tc>
        <w:tc>
          <w:tcPr/>
          <w:p>
            <w:pPr>
              <w:pStyle w:val="Compact"/>
            </w:pPr>
            <w:r>
              <w:t xml:space="preserve">Script, objeções, registro de call e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Conteúdo e Posicionamento</w:t>
            </w:r>
          </w:p>
        </w:tc>
        <w:tc>
          <w:tcPr/>
          <w:p>
            <w:pPr>
              <w:pStyle w:val="Compact"/>
            </w:pPr>
            <w:r>
              <w:t xml:space="preserve">Conteúdos que atraem ICP e filtram anti-ICP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Cockpit Operacional da Sprint</w:t>
            </w:r>
          </w:p>
        </w:tc>
        <w:tc>
          <w:tcPr/>
          <w:p>
            <w:pPr>
              <w:pStyle w:val="Compact"/>
            </w:pPr>
            <w:r>
              <w:t xml:space="preserve">KPIs, backlog de revisão, calibragem de critérios e owners</w:t>
            </w:r>
          </w:p>
        </w:tc>
      </w:tr>
    </w:tbl>
    <w:bookmarkEnd w:id="53"/>
    <w:bookmarkStart w:id="54" w:name="restrições-de-ux-e-implementação-em-html"/>
    <w:p>
      <w:pPr>
        <w:pStyle w:val="Heading3"/>
      </w:pPr>
      <w:r>
        <w:t xml:space="preserve">Restrições de UX e implementação em HTML</w:t>
      </w:r>
    </w:p>
    <w:p>
      <w:pPr>
        <w:pStyle w:val="FirstParagraph"/>
      </w:pPr>
      <w:r>
        <w:t xml:space="preserve">As telas/artefatos devem ser instrumentos de operação diária, não peças de apresentação. Isso pede HTML único por artefato, pronto para WordPress, CSS interno, JS apenas se necessário, escopo</w:t>
      </w:r>
      <w:r>
        <w:t xml:space="preserve"> </w:t>
      </w:r>
      <w:r>
        <w:rPr>
          <w:rStyle w:val="VerbatimChar"/>
        </w:rPr>
        <w:t xml:space="preserve">.debora-artifact</w:t>
      </w:r>
      <w:r>
        <w:t xml:space="preserve">, sem assets externos e com estrutura privilegiando tabela de score, matriz de decisão, checklist, bloco “próxima ação”, registro de evidências e cards de status. O desenho correto é de</w:t>
      </w:r>
      <w:r>
        <w:t xml:space="preserve"> </w:t>
      </w:r>
      <w:r>
        <w:rPr>
          <w:b/>
          <w:bCs/>
        </w:rPr>
        <w:t xml:space="preserve">painel operacional</w:t>
      </w:r>
      <w:r>
        <w:t xml:space="preserve">, não de landing page, aula ou apresentação.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LEAD ||--o{ QUALIFICATION_CALL : participa</w:t>
      </w:r>
      <w:r>
        <w:br/>
      </w:r>
      <w:r>
        <w:rPr>
          <w:rStyle w:val="VerbatimChar"/>
        </w:rPr>
        <w:t xml:space="preserve">    QUALIFICATION_CALL ||--|| SCORECARD : gera</w:t>
      </w:r>
      <w:r>
        <w:br/>
      </w:r>
      <w:r>
        <w:rPr>
          <w:rStyle w:val="VerbatimChar"/>
        </w:rPr>
        <w:t xml:space="preserve">    SCORECARD ||--|| DECISION : produz</w:t>
      </w:r>
      <w:r>
        <w:br/>
      </w:r>
      <w:r>
        <w:rPr>
          <w:rStyle w:val="VerbatimChar"/>
        </w:rPr>
        <w:t xml:space="preserve">    DECISION }o--|| PRODUCT_ROUTE : direciona</w:t>
      </w:r>
      <w:r>
        <w:br/>
      </w:r>
      <w:r>
        <w:rPr>
          <w:rStyle w:val="VerbatimChar"/>
        </w:rPr>
        <w:t xml:space="preserve">    PRODUCT_ROUTE }o--o{ TOOL_MODULE : aciona</w:t>
      </w:r>
      <w:r>
        <w:br/>
      </w:r>
      <w:r>
        <w:rPr>
          <w:rStyle w:val="VerbatimChar"/>
        </w:rPr>
        <w:t xml:space="preserve">    DECISION ||--o{ KPI_LOG : alimenta</w:t>
      </w:r>
      <w:r>
        <w:br/>
      </w:r>
      <w:r>
        <w:rPr>
          <w:rStyle w:val="VerbatimChar"/>
        </w:rPr>
        <w:t xml:space="preserve">    LEAD }o--o{ CONTENT_TOUCHPOINT : entra_por</w:t>
      </w:r>
    </w:p>
    <w:p>
      <w:pPr>
        <w:pStyle w:val="FirstParagraph"/>
      </w:pPr>
      <w:r>
        <w:t xml:space="preserve">A relação entre entidades acima garante que o sistema seja auditável: cada decisão deve nascer de uma call, cada call deve gerar um scorecard, cada scorecard deve produzir uma decisão única, e cada decisão deve alimentar o cockpit. Sem isso, o framework volta a ser opinião; com isso, ele vira operação.</w:t>
      </w:r>
    </w:p>
    <w:bookmarkEnd w:id="54"/>
    <w:bookmarkEnd w:id="55"/>
    <w:bookmarkEnd w:id="56"/>
    <w:bookmarkEnd w:id="57"/>
    <w:p>
      <w:r>
        <w:pict>
          <v:rect style="width:0;height:1.5pt" o:hralign="center" o:hrstd="t" o:hr="t"/>
        </w:pict>
      </w:r>
    </w:p>
    <w:bookmarkStart w:id="58" w:name="citations"/>
    <w:p>
      <w:pPr>
        <w:pStyle w:val="FirstParagraph"/>
      </w:pPr>
      <w:hyperlink r:id="rId2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Encontro ao vivo 11-03-2026 - Como os padrões moldam a sua realidade..md</w:t>
      </w:r>
    </w:p>
    <w:p>
      <w:pPr>
        <w:pStyle w:val="BodyText"/>
      </w:pPr>
      <w:hyperlink r:id="rId21">
        <w:r>
          <w:rPr>
            <w:rStyle w:val="Hyperlink"/>
          </w:rPr>
          <w:t xml:space="preserve">https://drive.google.com/file/d/1LcOdOTRyQSvQpQwEyAG9pi2a_D-una9B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Mentoria.md</w:t>
      </w:r>
    </w:p>
    <w:p>
      <w:pPr>
        <w:pStyle w:val="BodyText"/>
      </w:pPr>
      <w:hyperlink r:id="rId22">
        <w:r>
          <w:rPr>
            <w:rStyle w:val="Hyperlink"/>
          </w:rPr>
          <w:t xml:space="preserve">https://drive.google.com/file/d/1OXaQGaFX2i-nRxRd-lv6AZisQRiwgsVr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Formulário - O que precisamos para os próximos passos - Débora (respostas)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https://docs.google.com/spreadsheets/d/1j4IzUXznUebjdCZal67C61rUTeQra8hXcbJIweJHcXM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[8]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hyperlink r:id="rId24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Ideal Customer Profile Template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https://www.hubspot.com/make-my-persona/ideal-customer-profile-template?utm_source=chatgpt.com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[9]</w:t>
        </w:r>
      </w:hyperlink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t xml:space="preserve"> </w:t>
      </w:r>
      <w:hyperlink r:id="rId25">
        <w:r>
          <w:rPr>
            <w:rStyle w:val="Hyperlink"/>
          </w:rPr>
          <w:t xml:space="preserve">[37]</w:t>
        </w:r>
      </w:hyperlink>
      <w:r>
        <w:t xml:space="preserve"> </w:t>
      </w:r>
      <w:hyperlink r:id="rId25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The Modern Revenue Operating Model | SPICED from Winning by Design</w:t>
      </w:r>
    </w:p>
    <w:p>
      <w:pPr>
        <w:pStyle w:val="BodyText"/>
      </w:pPr>
      <w:hyperlink r:id="rId25">
        <w:r>
          <w:rPr>
            <w:rStyle w:val="Hyperlink"/>
          </w:rPr>
          <w:t xml:space="preserve">https://winningbydesign.com/spiced-framework/?utm_source=chatgpt.com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[10]</w:t>
        </w:r>
      </w:hyperlink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t xml:space="preserve"> </w:t>
      </w:r>
      <w:hyperlink r:id="rId26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Stages of change and psychotherapy outcomes: A review and meta-analysis - PubMed</w:t>
      </w:r>
    </w:p>
    <w:p>
      <w:pPr>
        <w:pStyle w:val="BodyText"/>
      </w:pPr>
      <w:hyperlink r:id="rId26">
        <w:r>
          <w:rPr>
            <w:rStyle w:val="Hyperlink"/>
          </w:rPr>
          <w:t xml:space="preserve">https://pubmed.ncbi.nlm.nih.gov/30335193/?utm_source=chatgpt.com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Individual differences in need for cognitive closure - PubMed</w:t>
      </w:r>
    </w:p>
    <w:p>
      <w:pPr>
        <w:pStyle w:val="BodyText"/>
      </w:pPr>
      <w:hyperlink r:id="rId27">
        <w:r>
          <w:rPr>
            <w:rStyle w:val="Hyperlink"/>
          </w:rPr>
          <w:t xml:space="preserve">https://pubmed.ncbi.nlm.nih.gov/7815301/?utm_source=chatgpt.com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 importância do inconsciente para concretizar sonhos.md</w:t>
      </w:r>
    </w:p>
    <w:p>
      <w:pPr>
        <w:pStyle w:val="BodyText"/>
      </w:pPr>
      <w:hyperlink r:id="rId29">
        <w:r>
          <w:rPr>
            <w:rStyle w:val="Hyperlink"/>
          </w:rPr>
          <w:t xml:space="preserve">https://drive.google.com/file/d/1OjYNXzNdMsC7TR8kE-vgcILeHTLl8Gew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Crenças sobre trabalho.md</w:t>
      </w:r>
    </w:p>
    <w:p>
      <w:pPr>
        <w:pStyle w:val="BodyText"/>
      </w:pPr>
      <w:hyperlink r:id="rId30">
        <w:r>
          <w:rPr>
            <w:rStyle w:val="Hyperlink"/>
          </w:rPr>
          <w:t xml:space="preserve">https://drive.google.com/file/d/1uponhFlXWIDTERf9BIzuFpYdiIdFUgPG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Ferramentas mapa de valor autêntico.pdf</w:t>
      </w:r>
    </w:p>
    <w:p>
      <w:pPr>
        <w:pStyle w:val="BodyText"/>
      </w:pPr>
      <w:hyperlink r:id="rId31">
        <w:r>
          <w:rPr>
            <w:rStyle w:val="Hyperlink"/>
          </w:rPr>
          <w:t xml:space="preserve">https://drive.google.com/file/d/12jWkX62wCKnd7Jzji517fidortvhDocV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What Is Lead Scoring? | Salesforce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https://www.salesforce.com/blog/lead-scoring/?utm_source=chatgpt.com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AI Information: MEDDICC | MEDDPICC Sales Qualification Framework</w:t>
      </w:r>
    </w:p>
    <w:p>
      <w:pPr>
        <w:pStyle w:val="BodyText"/>
      </w:pPr>
      <w:hyperlink r:id="rId33">
        <w:r>
          <w:rPr>
            <w:rStyle w:val="Hyperlink"/>
          </w:rPr>
          <w:t xml:space="preserve">https://meddicc.com/llm-info?utm_source=chatgpt.com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Stages of change. A critique - PubMed</w:t>
      </w:r>
    </w:p>
    <w:p>
      <w:pPr>
        <w:pStyle w:val="BodyText"/>
      </w:pPr>
      <w:hyperlink r:id="rId35">
        <w:r>
          <w:rPr>
            <w:rStyle w:val="Hyperlink"/>
          </w:rPr>
          <w:t xml:space="preserve">https://pubmed.ncbi.nlm.nih.gov/11961914/?utm_source=chatgpt.com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How to Create Detailed Buyer Personas for Your Business [+ Free Persona Template]</w:t>
      </w:r>
    </w:p>
    <w:p>
      <w:pPr>
        <w:pStyle w:val="BodyText"/>
      </w:pPr>
      <w:hyperlink r:id="rId36">
        <w:r>
          <w:rPr>
            <w:rStyle w:val="Hyperlink"/>
          </w:rPr>
          <w:t xml:space="preserve">https://blog.hubspot.com/marketing/treat-me-like-a-person-not-a-persona?utm_source=chatgpt.com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Readiness Ruler | Center for Evidence-Based Practices | Case Western Reserve University</w:t>
      </w:r>
    </w:p>
    <w:p>
      <w:pPr>
        <w:pStyle w:val="BodyText"/>
      </w:pPr>
      <w:hyperlink r:id="rId40">
        <w:r>
          <w:rPr>
            <w:rStyle w:val="Hyperlink"/>
          </w:rPr>
          <w:t xml:space="preserve">https://case.edu/socialwork/centerforebp/resources/readiness-ruler?utm_source=chatgpt.com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SPICED Across the Customer Journey | Winning by Design Blueprints</w:t>
      </w:r>
    </w:p>
    <w:p>
      <w:pPr>
        <w:pStyle w:val="BodyText"/>
      </w:pPr>
      <w:hyperlink r:id="rId49">
        <w:r>
          <w:rPr>
            <w:rStyle w:val="Hyperlink"/>
          </w:rPr>
          <w:t xml:space="preserve">https://winningbydesign.com/resources/blueprints/spiced-across-the-customer-journey/?utm_source=chatgpt.com</w:t>
        </w:r>
      </w:hyperlink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blog.hubspot.com/marketing/treat-me-like-a-person-not-a-persona?utm_source=chatgpt.com" TargetMode="External" /><Relationship Type="http://schemas.openxmlformats.org/officeDocument/2006/relationships/hyperlink" Id="rId40" Target="https://case.edu/socialwork/centerforebp/resources/readiness-ruler?utm_source=chatgpt.com" TargetMode="External" /><Relationship Type="http://schemas.openxmlformats.org/officeDocument/2006/relationships/hyperlink" Id="rId23" Target="https://docs.google.com/spreadsheets/d/1j4IzUXznUebjdCZal67C61rUTeQra8hXcbJIweJHcXM" TargetMode="External" /><Relationship Type="http://schemas.openxmlformats.org/officeDocument/2006/relationships/hyperlink" Id="rId31" Target="https://drive.google.com/file/d/12jWkX62wCKnd7Jzji517fidortvhDocV" TargetMode="External" /><Relationship Type="http://schemas.openxmlformats.org/officeDocument/2006/relationships/hyperlink" Id="rId21" Target="https://drive.google.com/file/d/1LcOdOTRyQSvQpQwEyAG9pi2a_D-una9B" TargetMode="External" /><Relationship Type="http://schemas.openxmlformats.org/officeDocument/2006/relationships/hyperlink" Id="rId22" Target="https://drive.google.com/file/d/1OXaQGaFX2i-nRxRd-lv6AZisQRiwgsVr" TargetMode="External" /><Relationship Type="http://schemas.openxmlformats.org/officeDocument/2006/relationships/hyperlink" Id="rId29" Target="https://drive.google.com/file/d/1OjYNXzNdMsC7TR8kE-vgcILeHTLl8Gew" TargetMode="External" /><Relationship Type="http://schemas.openxmlformats.org/officeDocument/2006/relationships/hyperlink" Id="rId30" Target="https://drive.google.com/file/d/1uponhFlXWIDTERf9BIzuFpYdiIdFUgPG" TargetMode="External" /><Relationship Type="http://schemas.openxmlformats.org/officeDocument/2006/relationships/hyperlink" Id="rId33" Target="https://meddicc.com/llm-info?utm_source=chatgpt.com" TargetMode="External" /><Relationship Type="http://schemas.openxmlformats.org/officeDocument/2006/relationships/hyperlink" Id="rId35" Target="https://pubmed.ncbi.nlm.nih.gov/11961914/?utm_source=chatgpt.com" TargetMode="External" /><Relationship Type="http://schemas.openxmlformats.org/officeDocument/2006/relationships/hyperlink" Id="rId26" Target="https://pubmed.ncbi.nlm.nih.gov/30335193/?utm_source=chatgpt.com" TargetMode="External" /><Relationship Type="http://schemas.openxmlformats.org/officeDocument/2006/relationships/hyperlink" Id="rId27" Target="https://pubmed.ncbi.nlm.nih.gov/7815301/?utm_source=chatgpt.com" TargetMode="External" /><Relationship Type="http://schemas.openxmlformats.org/officeDocument/2006/relationships/hyperlink" Id="rId49" Target="https://winningbydesign.com/resources/blueprints/spiced-across-the-customer-journey/?utm_source=chatgpt.com" TargetMode="External" /><Relationship Type="http://schemas.openxmlformats.org/officeDocument/2006/relationships/hyperlink" Id="rId25" Target="https://winningbydesign.com/spiced-framework/?utm_source=chatgpt.com" TargetMode="External" /><Relationship Type="http://schemas.openxmlformats.org/officeDocument/2006/relationships/hyperlink" Id="rId24" Target="https://www.hubspot.com/make-my-persona/ideal-customer-profile-template?utm_source=chatgpt.com" TargetMode="External" /><Relationship Type="http://schemas.openxmlformats.org/officeDocument/2006/relationships/hyperlink" Id="rId32" Target="https://www.salesforce.com/blog/lead-scoring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blog.hubspot.com/marketing/treat-me-like-a-person-not-a-persona?utm_source=chatgpt.com" TargetMode="External" /><Relationship Type="http://schemas.openxmlformats.org/officeDocument/2006/relationships/hyperlink" Id="rId40" Target="https://case.edu/socialwork/centerforebp/resources/readiness-ruler?utm_source=chatgpt.com" TargetMode="External" /><Relationship Type="http://schemas.openxmlformats.org/officeDocument/2006/relationships/hyperlink" Id="rId23" Target="https://docs.google.com/spreadsheets/d/1j4IzUXznUebjdCZal67C61rUTeQra8hXcbJIweJHcXM" TargetMode="External" /><Relationship Type="http://schemas.openxmlformats.org/officeDocument/2006/relationships/hyperlink" Id="rId31" Target="https://drive.google.com/file/d/12jWkX62wCKnd7Jzji517fidortvhDocV" TargetMode="External" /><Relationship Type="http://schemas.openxmlformats.org/officeDocument/2006/relationships/hyperlink" Id="rId21" Target="https://drive.google.com/file/d/1LcOdOTRyQSvQpQwEyAG9pi2a_D-una9B" TargetMode="External" /><Relationship Type="http://schemas.openxmlformats.org/officeDocument/2006/relationships/hyperlink" Id="rId22" Target="https://drive.google.com/file/d/1OXaQGaFX2i-nRxRd-lv6AZisQRiwgsVr" TargetMode="External" /><Relationship Type="http://schemas.openxmlformats.org/officeDocument/2006/relationships/hyperlink" Id="rId29" Target="https://drive.google.com/file/d/1OjYNXzNdMsC7TR8kE-vgcILeHTLl8Gew" TargetMode="External" /><Relationship Type="http://schemas.openxmlformats.org/officeDocument/2006/relationships/hyperlink" Id="rId30" Target="https://drive.google.com/file/d/1uponhFlXWIDTERf9BIzuFpYdiIdFUgPG" TargetMode="External" /><Relationship Type="http://schemas.openxmlformats.org/officeDocument/2006/relationships/hyperlink" Id="rId33" Target="https://meddicc.com/llm-info?utm_source=chatgpt.com" TargetMode="External" /><Relationship Type="http://schemas.openxmlformats.org/officeDocument/2006/relationships/hyperlink" Id="rId35" Target="https://pubmed.ncbi.nlm.nih.gov/11961914/?utm_source=chatgpt.com" TargetMode="External" /><Relationship Type="http://schemas.openxmlformats.org/officeDocument/2006/relationships/hyperlink" Id="rId26" Target="https://pubmed.ncbi.nlm.nih.gov/30335193/?utm_source=chatgpt.com" TargetMode="External" /><Relationship Type="http://schemas.openxmlformats.org/officeDocument/2006/relationships/hyperlink" Id="rId27" Target="https://pubmed.ncbi.nlm.nih.gov/7815301/?utm_source=chatgpt.com" TargetMode="External" /><Relationship Type="http://schemas.openxmlformats.org/officeDocument/2006/relationships/hyperlink" Id="rId49" Target="https://winningbydesign.com/resources/blueprints/spiced-across-the-customer-journey/?utm_source=chatgpt.com" TargetMode="External" /><Relationship Type="http://schemas.openxmlformats.org/officeDocument/2006/relationships/hyperlink" Id="rId25" Target="https://winningbydesign.com/spiced-framework/?utm_source=chatgpt.com" TargetMode="External" /><Relationship Type="http://schemas.openxmlformats.org/officeDocument/2006/relationships/hyperlink" Id="rId24" Target="https://www.hubspot.com/make-my-persona/ideal-customer-profile-template?utm_source=chatgpt.com" TargetMode="External" /><Relationship Type="http://schemas.openxmlformats.org/officeDocument/2006/relationships/hyperlink" Id="rId32" Target="https://www.salesforce.com/blog/lead-scoring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2026-05-06T20:02:58Z</dcterms:created>
  <dcterms:modified xsi:type="dcterms:W3CDTF">2026-05-06T20:02:58Z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