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brubru_icon_colours.png"/>
                    <pic:cNvPicPr/>
                  </pic:nvPicPr>
                  <pic:blipFill>
                    <a:blip r:embed="rId9"/>
                    <a:stretch>
                      <a:fillRect/>
                    </a:stretch>
                  </pic:blipFill>
                  <pic:spPr>
                    <a:xfrm>
                      <a:off x="0" y="0"/>
                      <a:ext cx="1371600" cy="1371600"/>
                    </a:xfrm>
                    <a:prstGeom prst="rect"/>
                  </pic:spPr>
                </pic:pic>
              </a:graphicData>
            </a:graphic>
          </wp:inline>
        </w:drawing>
      </w:r>
    </w:p>
    <w:p>
      <w:pPr>
        <w:jc w:val="center"/>
      </w:pPr>
      <w:r>
        <w:rPr>
          <w:rFonts w:ascii="Garamond" w:hAnsi="Garamond"/>
          <w:b/>
          <w:color w:val="0693E3"/>
          <w:sz w:val="36"/>
        </w:rPr>
        <w:t>Your Amendments With Brubru</w:t>
      </w:r>
    </w:p>
    <w:p/>
    <w:p>
      <w:pPr>
        <w:pStyle w:val="Title"/>
        <w:jc w:val="center"/>
      </w:pPr>
      <w:r>
        <w:rPr>
          <w:rFonts w:ascii="Garamond" w:hAnsi="Garamond"/>
          <w:sz w:val="48"/>
        </w:rPr>
        <w:t>Amendments - CELEX_52025PC0102_EN_TXT.docx</w:t>
      </w:r>
    </w:p>
    <w:p>
      <w:pPr>
        <w:jc w:val="center"/>
      </w:pPr>
      <w:r>
        <w:rPr>
          <w:rFonts w:ascii="Garamond" w:hAnsi="Garamond"/>
          <w:i/>
          <w:sz w:val="22"/>
        </w:rPr>
        <w:t>Generated: 2025-11-12 18:19</w:t>
      </w:r>
    </w:p>
    <w:p/>
    <w:p>
      <w:pPr>
        <w:pStyle w:val="Heading2"/>
      </w:pPr>
      <w:r>
        <w:rPr>
          <w:rFonts w:ascii="Garamond" w:hAnsi="Garamond"/>
        </w:rPr>
        <w:t>AMENDMENT 1</w:t>
      </w:r>
    </w:p>
    <w:p>
      <w:r>
        <w:rPr>
          <w:rFonts w:ascii="Garamond" w:hAnsi="Garamond"/>
          <w:b/>
        </w:rPr>
        <w:t xml:space="preserve">Position: </w:t>
      </w:r>
      <w:r>
        <w:rPr>
          <w:rFonts w:ascii="Garamond" w:hAnsi="Garamond"/>
        </w:rPr>
        <w:t>After Recital 1</w:t>
      </w:r>
    </w:p>
    <w:p>
      <w:r>
        <w:rPr>
          <w:rFonts w:ascii="Garamond" w:hAnsi="Garamond"/>
          <w:b/>
        </w:rPr>
        <w:t xml:space="preserve">Type: </w:t>
      </w:r>
      <w:r>
        <w:rPr>
          <w:rFonts w:ascii="Garamond" w:hAnsi="Garamond"/>
        </w:rPr>
        <w:t>Addition</w:t>
      </w:r>
    </w:p>
    <w:tbl>
      <w:tblPr>
        <w:tblStyle w:val="TableGrid"/>
        <w:tblW w:type="auto" w:w="0"/>
        <w:tblLook w:firstColumn="1" w:firstRow="1" w:lastColumn="0" w:lastRow="0" w:noHBand="0" w:noVBand="1" w:val="04A0"/>
      </w:tblPr>
      <w:tblGrid>
        <w:gridCol w:w="4320"/>
        <w:gridCol w:w="4320"/>
      </w:tblGrid>
      <w:tr>
        <w:tc>
          <w:tcPr>
            <w:tcW w:type="dxa" w:w="4320"/>
            <w:shd w:fill="D9E2F3"/>
            <w:tcMar>
              <w:top w:w="100" w:type="dxa"/>
              <w:left w:w="100" w:type="dxa"/>
              <w:bottom w:w="100" w:type="dxa"/>
              <w:right w:w="100" w:type="dxa"/>
            </w:tcMar>
          </w:tcPr>
          <w:p>
            <w:r/>
            <w:r>
              <w:rPr>
                <w:rFonts w:ascii="Garamond" w:hAnsi="Garamond"/>
                <w:b/>
                <w:sz w:val="22"/>
              </w:rPr>
              <w:t>Original text</w:t>
            </w:r>
          </w:p>
        </w:tc>
        <w:tc>
          <w:tcPr>
            <w:tcW w:type="dxa" w:w="5040"/>
            <w:shd w:fill="D9E2F3"/>
            <w:tcMar>
              <w:top w:w="100" w:type="dxa"/>
              <w:left w:w="100" w:type="dxa"/>
              <w:bottom w:w="100" w:type="dxa"/>
              <w:right w:w="100" w:type="dxa"/>
            </w:tcMar>
          </w:tcPr>
          <w:p>
            <w:r/>
            <w:r>
              <w:rPr>
                <w:rFonts w:ascii="Garamond" w:hAnsi="Garamond"/>
                <w:b/>
                <w:sz w:val="22"/>
              </w:rPr>
              <w:t>Proposed text</w:t>
            </w:r>
          </w:p>
        </w:tc>
      </w:tr>
      <w:tr>
        <w:tc>
          <w:tcPr>
            <w:tcW w:type="dxa" w:w="4320"/>
            <w:tcMar>
              <w:top w:w="100" w:type="dxa"/>
              <w:left w:w="100" w:type="dxa"/>
              <w:bottom w:w="100" w:type="dxa"/>
              <w:right w:w="100" w:type="dxa"/>
            </w:tcMar>
          </w:tcPr>
          <w:p>
            <w:r/>
            <w:r>
              <w:rPr>
                <w:rFonts w:ascii="Garamond" w:hAnsi="Garamond"/>
                <w:sz w:val="22"/>
              </w:rPr>
              <w:t>[No original text - Addition]</w:t>
            </w:r>
          </w:p>
        </w:tc>
        <w:tc>
          <w:tcPr>
            <w:tcW w:type="dxa" w:w="5040"/>
            <w:tcMar>
              <w:top w:w="100" w:type="dxa"/>
              <w:left w:w="100" w:type="dxa"/>
              <w:bottom w:w="100" w:type="dxa"/>
              <w:right w:w="100" w:type="dxa"/>
            </w:tcMar>
          </w:tcPr>
          <w:p>
            <w:r/>
            <w:r>
              <w:rPr>
                <w:rFonts w:ascii="Garamond" w:hAnsi="Garamond"/>
                <w:b/>
                <w:i/>
                <w:sz w:val="22"/>
              </w:rPr>
              <w:t>Hello</w:t>
            </w:r>
          </w:p>
        </w:tc>
      </w:tr>
      <w:tr>
        <w:tc>
          <w:tcPr>
            <w:tcW w:type="dxa" w:w="9360"/>
            <w:gridSpan w:val="2"/>
            <w:shd w:fill="F2F2F2"/>
            <w:tcMar>
              <w:top w:w="100" w:type="dxa"/>
              <w:left w:w="100" w:type="dxa"/>
              <w:bottom w:w="100" w:type="dxa"/>
              <w:right w:w="100" w:type="dxa"/>
            </w:tcMar>
          </w:tcPr>
          <w:p>
            <w:r/>
            <w:r>
              <w:rPr>
                <w:rFonts w:ascii="Garamond" w:hAnsi="Garamond"/>
                <w:sz w:val="22"/>
              </w:rPr>
              <w:t>Justification:</w:t>
              <w:br/>
            </w:r>
          </w:p>
        </w:tc>
      </w:tr>
    </w:tbl>
    <w:p>
      <w:r>
        <w:rPr>
          <w:rFonts w:ascii="Garamond" w:hAnsi="Garamond"/>
        </w:rPr>
        <w:t>____________________________________________________________</w:t>
      </w:r>
    </w:p>
    <w:p/>
    <w:p>
      <w:pPr>
        <w:pStyle w:val="Heading2"/>
      </w:pPr>
      <w:r>
        <w:rPr>
          <w:rFonts w:ascii="Garamond" w:hAnsi="Garamond"/>
        </w:rPr>
        <w:t>AMENDMENT 2</w:t>
      </w:r>
    </w:p>
    <w:p>
      <w:r>
        <w:rPr>
          <w:rFonts w:ascii="Garamond" w:hAnsi="Garamond"/>
          <w:b/>
        </w:rPr>
        <w:t xml:space="preserve">Position: </w:t>
      </w:r>
      <w:r>
        <w:rPr>
          <w:rFonts w:ascii="Garamond" w:hAnsi="Garamond"/>
        </w:rPr>
        <w:t>Recital 2</w:t>
      </w:r>
    </w:p>
    <w:p>
      <w:r>
        <w:rPr>
          <w:rFonts w:ascii="Garamond" w:hAnsi="Garamond"/>
          <w:b/>
        </w:rPr>
        <w:t xml:space="preserve">Type: </w:t>
      </w:r>
      <w:r>
        <w:rPr>
          <w:rFonts w:ascii="Garamond" w:hAnsi="Garamond"/>
        </w:rPr>
        <w:t>Suppression</w:t>
      </w:r>
    </w:p>
    <w:tbl>
      <w:tblPr>
        <w:tblStyle w:val="TableGrid"/>
        <w:tblW w:type="auto" w:w="0"/>
        <w:tblLook w:firstColumn="1" w:firstRow="1" w:lastColumn="0" w:lastRow="0" w:noHBand="0" w:noVBand="1" w:val="04A0"/>
      </w:tblPr>
      <w:tblGrid>
        <w:gridCol w:w="4320"/>
        <w:gridCol w:w="4320"/>
      </w:tblGrid>
      <w:tr>
        <w:tc>
          <w:tcPr>
            <w:tcW w:type="dxa" w:w="4320"/>
            <w:shd w:fill="D9E2F3"/>
            <w:tcMar>
              <w:top w:w="100" w:type="dxa"/>
              <w:left w:w="100" w:type="dxa"/>
              <w:bottom w:w="100" w:type="dxa"/>
              <w:right w:w="100" w:type="dxa"/>
            </w:tcMar>
          </w:tcPr>
          <w:p>
            <w:r/>
            <w:r>
              <w:rPr>
                <w:rFonts w:ascii="Garamond" w:hAnsi="Garamond"/>
                <w:b/>
                <w:sz w:val="22"/>
              </w:rPr>
              <w:t>Original text</w:t>
            </w:r>
          </w:p>
        </w:tc>
        <w:tc>
          <w:tcPr>
            <w:tcW w:type="dxa" w:w="5040"/>
            <w:shd w:fill="D9E2F3"/>
            <w:tcMar>
              <w:top w:w="100" w:type="dxa"/>
              <w:left w:w="100" w:type="dxa"/>
              <w:bottom w:w="100" w:type="dxa"/>
              <w:right w:w="100" w:type="dxa"/>
            </w:tcMar>
          </w:tcPr>
          <w:p>
            <w:r/>
            <w:r>
              <w:rPr>
                <w:rFonts w:ascii="Garamond" w:hAnsi="Garamond"/>
                <w:b/>
                <w:sz w:val="22"/>
              </w:rPr>
              <w:t>Proposed text</w:t>
            </w:r>
          </w:p>
        </w:tc>
      </w:tr>
      <w:tr>
        <w:tc>
          <w:tcPr>
            <w:tcW w:type="dxa" w:w="4320"/>
            <w:tcMar>
              <w:top w:w="100" w:type="dxa"/>
              <w:left w:w="100" w:type="dxa"/>
              <w:bottom w:w="100" w:type="dxa"/>
              <w:right w:w="100" w:type="dxa"/>
            </w:tcMar>
          </w:tcPr>
          <w:p>
            <w:r>
              <w:rPr>
                <w:strike/>
              </w:rPr>
            </w:r>
            <w:r>
              <w:rPr>
                <w:rFonts w:ascii="Garamond" w:hAnsi="Garamond"/>
                <w:strike/>
                <w:sz w:val="22"/>
              </w:rPr>
              <w:t>In recent years, the Union has experienced an increasing number of shortages of medicinal products, including shortages of medicinal products for which insufficient supply results in serious harm or risk of serious harm to patients.</w:t>
            </w:r>
          </w:p>
        </w:tc>
        <w:tc>
          <w:tcPr>
            <w:tcW w:type="dxa" w:w="5040"/>
            <w:tcMar>
              <w:top w:w="100" w:type="dxa"/>
              <w:left w:w="100" w:type="dxa"/>
              <w:bottom w:w="100" w:type="dxa"/>
              <w:right w:w="100" w:type="dxa"/>
            </w:tcMar>
          </w:tcPr>
          <w:p>
            <w:r/>
            <w:r>
              <w:rPr>
                <w:rFonts w:ascii="Garamond" w:hAnsi="Garamond"/>
                <w:b/>
                <w:i/>
                <w:sz w:val="22"/>
              </w:rPr>
              <w:t>[Suppressed text]</w:t>
            </w:r>
          </w:p>
        </w:tc>
      </w:tr>
      <w:tr>
        <w:tc>
          <w:tcPr>
            <w:tcW w:type="dxa" w:w="9360"/>
            <w:gridSpan w:val="2"/>
            <w:shd w:fill="F2F2F2"/>
            <w:tcMar>
              <w:top w:w="100" w:type="dxa"/>
              <w:left w:w="100" w:type="dxa"/>
              <w:bottom w:w="100" w:type="dxa"/>
              <w:right w:w="100" w:type="dxa"/>
            </w:tcMar>
          </w:tcPr>
          <w:p>
            <w:r/>
            <w:r>
              <w:rPr>
                <w:rFonts w:ascii="Garamond" w:hAnsi="Garamond"/>
                <w:sz w:val="22"/>
              </w:rPr>
              <w:t>Justification:</w:t>
              <w:br/>
            </w:r>
          </w:p>
        </w:tc>
      </w:tr>
    </w:tbl>
    <w:p>
      <w:r>
        <w:rPr>
          <w:rFonts w:ascii="Garamond" w:hAnsi="Garamond"/>
        </w:rPr>
        <w:t>____________________________________________________________</w:t>
      </w:r>
    </w:p>
    <w:p/>
    <w:p>
      <w:pPr>
        <w:pStyle w:val="Heading2"/>
      </w:pPr>
      <w:r>
        <w:rPr>
          <w:rFonts w:ascii="Garamond" w:hAnsi="Garamond"/>
        </w:rPr>
        <w:t>AMENDMENT 3</w:t>
      </w:r>
    </w:p>
    <w:p>
      <w:r>
        <w:rPr>
          <w:rFonts w:ascii="Garamond" w:hAnsi="Garamond"/>
          <w:b/>
        </w:rPr>
        <w:t xml:space="preserve">Position: </w:t>
      </w:r>
      <w:r>
        <w:rPr>
          <w:rFonts w:ascii="Garamond" w:hAnsi="Garamond"/>
        </w:rPr>
        <w:t>Recital 3</w:t>
      </w:r>
    </w:p>
    <w:p>
      <w:r>
        <w:rPr>
          <w:rFonts w:ascii="Garamond" w:hAnsi="Garamond"/>
          <w:b/>
        </w:rPr>
        <w:t xml:space="preserve">Type: </w:t>
      </w:r>
      <w:r>
        <w:rPr>
          <w:rFonts w:ascii="Garamond" w:hAnsi="Garamond"/>
        </w:rPr>
        <w:t>Modification</w:t>
      </w:r>
    </w:p>
    <w:tbl>
      <w:tblPr>
        <w:tblStyle w:val="TableGrid"/>
        <w:tblW w:type="auto" w:w="0"/>
        <w:tblLook w:firstColumn="1" w:firstRow="1" w:lastColumn="0" w:lastRow="0" w:noHBand="0" w:noVBand="1" w:val="04A0"/>
      </w:tblPr>
      <w:tblGrid>
        <w:gridCol w:w="4320"/>
        <w:gridCol w:w="4320"/>
      </w:tblGrid>
      <w:tr>
        <w:tc>
          <w:tcPr>
            <w:tcW w:type="dxa" w:w="4320"/>
            <w:shd w:fill="D9E2F3"/>
            <w:tcMar>
              <w:top w:w="100" w:type="dxa"/>
              <w:left w:w="100" w:type="dxa"/>
              <w:bottom w:w="100" w:type="dxa"/>
              <w:right w:w="100" w:type="dxa"/>
            </w:tcMar>
          </w:tcPr>
          <w:p>
            <w:r/>
            <w:r>
              <w:rPr>
                <w:rFonts w:ascii="Garamond" w:hAnsi="Garamond"/>
                <w:b/>
                <w:sz w:val="22"/>
              </w:rPr>
              <w:t>Original text</w:t>
            </w:r>
          </w:p>
        </w:tc>
        <w:tc>
          <w:tcPr>
            <w:tcW w:type="dxa" w:w="5040"/>
            <w:shd w:fill="D9E2F3"/>
            <w:tcMar>
              <w:top w:w="100" w:type="dxa"/>
              <w:left w:w="100" w:type="dxa"/>
              <w:bottom w:w="100" w:type="dxa"/>
              <w:right w:w="100" w:type="dxa"/>
            </w:tcMar>
          </w:tcPr>
          <w:p>
            <w:r/>
            <w:r>
              <w:rPr>
                <w:rFonts w:ascii="Garamond" w:hAnsi="Garamond"/>
                <w:b/>
                <w:sz w:val="22"/>
              </w:rPr>
              <w:t>Proposed text</w:t>
            </w:r>
          </w:p>
        </w:tc>
      </w:tr>
      <w:tr>
        <w:tc>
          <w:tcPr>
            <w:tcW w:type="dxa" w:w="4320"/>
            <w:tcMar>
              <w:top w:w="100" w:type="dxa"/>
              <w:left w:w="100" w:type="dxa"/>
              <w:bottom w:w="100" w:type="dxa"/>
              <w:right w:w="100" w:type="dxa"/>
            </w:tcMar>
          </w:tcPr>
          <w:p>
            <w:r/>
            <w:r>
              <w:rPr>
                <w:rFonts w:ascii="Garamond" w:hAnsi="Garamond"/>
                <w:sz w:val="22"/>
              </w:rPr>
              <w:t>Shortages of medicinal products can have very different and complex root causes, with challenges identified along the entire pharmaceutical value chain. In particular, shortages of medicinal products can result from supply chain disruptions and vulnerabilities affecting the supply of key ingredients and components. These include existing dependencies on a limited number of suppliers globally and lack of Union capacities to produce certain medicinal products, their active substances or key raw pharmaceutical materials. Through diversification of supply sources and investment in local production, the Union can reduce its risk of exposure to shortages of medicinal products.</w:t>
            </w:r>
          </w:p>
        </w:tc>
        <w:tc>
          <w:tcPr>
            <w:tcW w:type="dxa" w:w="5040"/>
            <w:tcMar>
              <w:top w:w="100" w:type="dxa"/>
              <w:left w:w="100" w:type="dxa"/>
              <w:bottom w:w="100" w:type="dxa"/>
              <w:right w:w="100" w:type="dxa"/>
            </w:tcMar>
          </w:tcPr>
          <w:p>
            <w:r/>
            <w:r>
              <w:rPr>
                <w:rFonts w:ascii="Garamond" w:hAnsi="Garamond"/>
                <w:b/>
                <w:i/>
                <w:sz w:val="22"/>
              </w:rPr>
              <w:t>Hello of medicinal products can have very different and complex root causes, with challenges identified along the entire pharmaceutical value chain. In particular, shortages of medicinal products can result from supply chain disruptions and vulnerabilities affecting the supply of key ingredients and components. These include existing dependencies on a limited number of suppliers globally and lack of Union capacities to produce certain medicinal products, their active substances or key raw pharmaceutical materials. Through diversification of supply sources and investment in local production, the Union can reduce its risk of exposure to shortages of medicinal products.</w:t>
            </w:r>
          </w:p>
        </w:tc>
      </w:tr>
      <w:tr>
        <w:tc>
          <w:tcPr>
            <w:tcW w:type="dxa" w:w="9360"/>
            <w:gridSpan w:val="2"/>
            <w:shd w:fill="F2F2F2"/>
            <w:tcMar>
              <w:top w:w="100" w:type="dxa"/>
              <w:left w:w="100" w:type="dxa"/>
              <w:bottom w:w="100" w:type="dxa"/>
              <w:right w:w="100" w:type="dxa"/>
            </w:tcMar>
          </w:tcPr>
          <w:p>
            <w:r/>
            <w:r>
              <w:rPr>
                <w:rFonts w:ascii="Garamond" w:hAnsi="Garamond"/>
                <w:sz w:val="22"/>
              </w:rPr>
              <w:t>Justification:</w:t>
              <w:br/>
            </w:r>
          </w:p>
        </w:tc>
      </w:tr>
    </w:tbl>
    <w:p>
      <w:r>
        <w:rPr>
          <w:rFonts w:ascii="Garamond" w:hAnsi="Garamond"/>
        </w:rPr>
        <w:t>____________________________________________________________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Amendments - CELEX_52025PC0102_EN_TXT.docx</dc:title>
  <dc:subject/>
  <dc:creator>Brubru Amendator</dc:creator>
  <cp:keywords/>
  <dc:description>generated by python-docx</dc:description>
  <cp:lastModifiedBy/>
  <cp:revision>1</cp:revision>
  <dcterms:created xsi:type="dcterms:W3CDTF">2025-11-12T18:19:29Z</dcterms:created>
  <dcterms:modified xsi:type="dcterms:W3CDTF">2013-12-23T23:15:00Z</dcterms:modified>
  <cp:category/>
</cp:coreProperties>
</file>