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120"/>
        <w:jc w:val="center"/>
      </w:pPr>
      <w:r>
        <w:rPr>
          <w:rFonts w:ascii="Calibri" w:hAnsi="Calibri"/>
          <w:b/>
          <w:i w:val="0"/>
          <w:color w:val="5B6573"/>
          <w:sz w:val="22"/>
        </w:rPr>
        <w:t>CENTRO UNIVERSITÁRIO DE JOÃO PESSOA - UNIPÊ</w:t>
      </w:r>
    </w:p>
    <w:p>
      <w:pPr>
        <w:spacing w:before="800" w:after="160"/>
        <w:jc w:val="center"/>
      </w:pPr>
      <w:r>
        <w:rPr>
          <w:rFonts w:ascii="Calibri" w:hAnsi="Calibri"/>
          <w:b/>
          <w:i w:val="0"/>
          <w:color w:val="1F4D78"/>
          <w:sz w:val="46"/>
        </w:rPr>
        <w:t>PLANO DE CONTINUIDADE E EXECUÇÃO</w:t>
      </w:r>
    </w:p>
    <w:p>
      <w:pPr>
        <w:spacing w:after="400"/>
        <w:jc w:val="center"/>
      </w:pPr>
      <w:r>
        <w:rPr>
          <w:rFonts w:ascii="Calibri" w:hAnsi="Calibri"/>
          <w:b/>
          <w:i w:val="0"/>
          <w:color w:val="2E74B5"/>
          <w:sz w:val="28"/>
        </w:rPr>
        <w:t>TRABALHO DE CONCLUSÃO DE CURSO II - 2026.2</w:t>
      </w:r>
    </w:p>
    <w:p>
      <w:pPr>
        <w:spacing w:before="160" w:after="600"/>
        <w:jc w:val="center"/>
      </w:pPr>
      <w:r>
        <w:rPr>
          <w:rFonts w:ascii="Calibri" w:hAnsi="Calibri"/>
          <w:b/>
          <w:i w:val="0"/>
          <w:color w:val="1F1F1F"/>
          <w:sz w:val="30"/>
        </w:rPr>
        <w:t>Classificação Multiclasse de Eletrocardiogramas de 12 Derivações Utilizando Machine Learning, Balanceamento de Dados e Técnicas de Interpretabilidade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</w:trPr>
        <w:tc>
          <w:tcPr>
            <w:tcW w:type="dxa" w:w="2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Alunos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1"/>
              </w:rPr>
              <w:t>Arysson André Oliveira da Luz</w:t>
              <w:br/>
              <w:t>Paulo Victor Oliveira de Barros Araújo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Orientador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1"/>
              </w:rPr>
              <w:t>Prof. Dr. Leonardo Angelo Virginio de Souto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Área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1"/>
              </w:rPr>
              <w:t>Ciência de Dados e Inteligência Artificial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Marco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</w:tcPr>
          <w:p>
            <w:pPr>
              <w:spacing w:before="0" w:after="0" w:line="252" w:lineRule="auto"/>
              <w:jc w:val="left"/>
            </w:pPr>
            <w:r>
              <w:t>Execução orientada por entregas; meta interna de conclusão técnica até 31/10/2026 como margem de segurança, sem dependencia de semanas fixas.</w:t>
            </w:r>
            <w:r>
              <w:rPr>
                <w:rFonts w:ascii="Calibri" w:hAnsi="Calibri"/>
                <w:b w:val="0"/>
                <w:i w:val="0"/>
                <w:color w:val="1F1F1F"/>
                <w:sz w:val="21"/>
              </w:rPr>
            </w:r>
          </w:p>
        </w:tc>
      </w:tr>
    </w:tbl>
    <w:p>
      <w:pPr>
        <w:spacing w:before="680" w:after="0"/>
        <w:jc w:val="center"/>
      </w:pPr>
      <w:r>
        <w:rPr>
          <w:rFonts w:ascii="Calibri" w:hAnsi="Calibri"/>
          <w:b w:val="0"/>
          <w:i w:val="0"/>
          <w:color w:val="5B6573"/>
          <w:sz w:val="21"/>
        </w:rPr>
        <w:t>João Pessoa - PB</w:t>
        <w:br/>
        <w:t>Agosto de 2026</w:t>
      </w:r>
    </w:p>
    <w:p>
      <w:r/>
    </w:p>
    <w:p>
      <w:pPr>
        <w:pStyle w:val="Heading1"/>
        <w:keepNext/>
      </w:pPr>
      <w:r>
        <w:t>1. Resumo executivo</w:t>
      </w:r>
    </w:p>
    <w:p>
      <w:pPr>
        <w:widowControl/>
      </w:pPr>
      <w:r>
        <w:rPr>
          <w:rFonts w:ascii="Calibri" w:hAnsi="Calibri"/>
          <w:b w:val="0"/>
          <w:i w:val="0"/>
          <w:color w:val="1F1F1F"/>
          <w:sz w:val="21"/>
        </w:rPr>
        <w:t>Este documento organiza a continuidade do TCC I para o TCC II. O ponto de partida é o pipeline reprodutível já desenvolvido com o PTB-XL, incluindo modelos clássicos, redes neurais 1D, balanceamento e interpretabilidade. A formulação multiclasse strict_single_label será preservada como referência histórica, enquanto a trilha principal do TCC II adotará a formulação multilabel do benchmark original. O escopo passa a comparar seis papéis experimentais: baselines clássicos, arquiteturas supervisionadas de Helme, convolução temporal moderna, modelos de espaço de estados, aprendizado autossupervisionado e interpretabilidade profunda. A avaliação interna será complementada por validação em um dataset externo selecionado e auditado antes dos experimentos finais.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4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b/>
              </w:rPr>
              <w:t>Meta interna de planejamento</w:t>
            </w:r>
            <w:r>
              <w:rPr>
                <w:rFonts w:ascii="Calibri" w:hAnsi="Calibri"/>
                <w:b/>
                <w:i w:val="0"/>
                <w:color w:val="9A6700"/>
                <w:sz w:val="22"/>
              </w:rPr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Antecipar todas as atividades possiveis e concluir o núcleo técnico preferencialmente até 31 de outubro de 2026. A data é uma referência interna para preservar tempo de revisão; o andamento será controlado por entregas e critérios de aceite, não por permanencia obrigatória em semanas predefinidas.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Identificação e ponto de partida</w:t>
      </w:r>
    </w:p>
    <w:p>
      <w:pPr>
        <w:widowControl/>
      </w:pPr>
      <w:r>
        <w:rPr>
          <w:rFonts w:ascii="Calibri" w:hAnsi="Calibri"/>
          <w:b w:val="0"/>
          <w:i w:val="0"/>
          <w:color w:val="1F1F1F"/>
          <w:sz w:val="21"/>
        </w:rPr>
        <w:t>Tema: Classificação Multiclasse de Eletrocardiogramas de 12 Derivações Utilizando Machine Learning, Balanceamento de Dados e Técnicas de Interpretabilidade.</w:t>
      </w:r>
    </w:p>
    <w:p>
      <w:pPr>
        <w:widowControl/>
      </w:pPr>
      <w:r>
        <w:rPr>
          <w:rFonts w:ascii="Calibri" w:hAnsi="Calibri"/>
          <w:b w:val="0"/>
          <w:i w:val="0"/>
          <w:color w:val="1F1F1F"/>
          <w:sz w:val="21"/>
        </w:rPr>
        <w:t>O TCC I foi preservado no repositório Git por meio da branch tcc1-final, no commit c8e2fb6. O desenvolvimento do TCC II seguirá na branch tcc2-development. Essa separação mantém uma versão auditável do trabalho apresentado e permite evoluir código, experimentos e documentação sem alterar o marco anterior.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Componente já disponível</w:t>
            </w:r>
          </w:p>
        </w:tc>
        <w:tc>
          <w:tcPr>
            <w:tcW w:type="dxa" w:w="7060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Situação ao término do TCC I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Dados e rótulos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PTB-XL; superclasses NORM, MI, STTC, CD e HYP; estratégia strict_single_label.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Protocolo</w:t>
            </w:r>
          </w:p>
        </w:tc>
        <w:tc>
          <w:tcPr>
            <w:tcW w:type="dxa" w:w="70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Folds oficiais: treino 1-8, validação 9 e teste 10; teste preservado para avaliação final.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Modelos clássicos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Regressão Logística, SVM, Random Forest, LightGBM e CatBoost, com comparação de SMOTE no treino.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Modelos profundos</w:t>
            </w:r>
          </w:p>
        </w:tc>
        <w:tc>
          <w:tcPr>
            <w:tcW w:type="dxa" w:w="70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CNN simples, ResNet1D leve, InceptionTime 1D adaptada e ResNet1D-SE experimental.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Melhor resultado anterior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InceptionTime 1D adaptada: acurácia 0,7824 e F1 macro 0,6840 em records500.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Interpretabilidade</w:t>
            </w:r>
          </w:p>
        </w:tc>
        <w:tc>
          <w:tcPr>
            <w:tcW w:type="dxa" w:w="70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SHAP e LIME no modelo tabular; Integrated Gradients preparado para a InceptionTime 1D.</w:t>
            </w:r>
          </w:p>
        </w:tc>
      </w:tr>
    </w:tbl>
    <w:p>
      <w:pPr>
        <w:spacing w:before="60" w:after="80"/>
      </w:pPr>
      <w:r>
        <w:rPr>
          <w:rFonts w:ascii="Calibri" w:hAnsi="Calibri"/>
          <w:b w:val="0"/>
          <w:i/>
          <w:color w:val="5B6573"/>
          <w:sz w:val="16"/>
        </w:rPr>
        <w:t>Fonte: elaboração dos autores a partir do projeto e das referências técnicas indicadas.</w:t>
      </w:r>
    </w:p>
    <w:p>
      <w:pPr>
        <w:pStyle w:val="Heading1"/>
        <w:keepNext/>
        <w:pageBreakBefore/>
      </w:pPr>
      <w:r>
        <w:t>3. Incorporação das observações da banca</w:t>
      </w:r>
    </w:p>
    <w:p>
      <w:pPr>
        <w:widowControl/>
      </w:pPr>
      <w:r>
        <w:rPr>
          <w:rFonts w:ascii="Calibri" w:hAnsi="Calibri"/>
          <w:b w:val="0"/>
          <w:i w:val="0"/>
          <w:color w:val="1F1F1F"/>
          <w:sz w:val="21"/>
        </w:rPr>
        <w:t>As contribuições da banca serão registradas separadamente por avaliador, pois tiveram naturezas distintas. Essa organização não atribui juízo de valor às observações: ela permite demonstrar como cada conjunto de comentários foi conferido e incorporado ao planejamento do TCC II.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500"/>
        <w:gridCol w:w="3550"/>
        <w:gridCol w:w="4310"/>
      </w:tblGrid>
      <w:tr>
        <w:trPr>
          <w:tblHeader w:val="true"/>
          <w:cantSplit/>
        </w:trPr>
        <w:tc>
          <w:tcPr>
            <w:tcW w:type="dxa" w:w="1500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Origem</w:t>
            </w:r>
          </w:p>
        </w:tc>
        <w:tc>
          <w:tcPr>
            <w:tcW w:type="dxa" w:w="3550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Síntese da contribuição</w:t>
            </w:r>
          </w:p>
        </w:tc>
        <w:tc>
          <w:tcPr>
            <w:tcW w:type="dxa" w:w="4310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Encaminhamento no TCC II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Avaliador 1</w:t>
            </w:r>
          </w:p>
        </w:tc>
        <w:tc>
          <w:tcPr>
            <w:tcW w:type="dxa" w:w="3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Durante a arguição, o avaliador perguntou sobre diferentes pontos do projeto. Esses aspectos já estavam bem esclarecidos na versão escrita e já haviam sido trabalhados no desenvolvimento do TCC I.</w:t>
            </w:r>
          </w:p>
        </w:tc>
        <w:tc>
          <w:tcPr>
            <w:tcW w:type="dxa" w:w="4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Manter o conteúdo já desenvolvido e facilitar sua localização no texto e na apresentação, sem tratar como pendências aspectos que já foram implementados e documentados.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Avaliador 2 - avaliação médica</w:t>
            </w:r>
          </w:p>
        </w:tc>
        <w:tc>
          <w:tcPr>
            <w:tcW w:type="dxa" w:w="35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Foi sugerida uma comparação entre o sistema e a avaliação de um médico.</w:t>
            </w:r>
          </w:p>
        </w:tc>
        <w:tc>
          <w:tcPr>
            <w:tcW w:type="dxa" w:w="431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Manter como possibilidade posterior. Uma atividade desse tipo não será denominada validação clínica sem protocolo, padrão de referência, análise estatística e avaliação das exigências éticas.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Avaliador 2 - bases externas</w:t>
            </w:r>
          </w:p>
        </w:tc>
        <w:tc>
          <w:tcPr>
            <w:tcW w:type="dxa" w:w="3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Foi sugerido utilizar uma base brasileira ou outro dataset para avaliar a generalização externa.</w:t>
            </w:r>
          </w:p>
        </w:tc>
        <w:tc>
          <w:tcPr>
            <w:tcW w:type="dxa" w:w="4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Comparar bases candidatas quanto a rótulos, sinais, qualidade de anotação, acesso e viabilidade; selecionar a base somente após essa análise e validação com o orientador.</w:t>
            </w:r>
          </w:p>
        </w:tc>
      </w:tr>
    </w:tbl>
    <w:p>
      <w:pPr>
        <w:spacing w:before="60" w:after="80"/>
      </w:pPr>
      <w:r>
        <w:rPr>
          <w:rFonts w:ascii="Calibri" w:hAnsi="Calibri"/>
          <w:b w:val="0"/>
          <w:i/>
          <w:color w:val="5B6573"/>
          <w:sz w:val="16"/>
        </w:rPr>
        <w:t>Fonte: elaboração dos autores a partir do projeto e das referências técnicas indicadas.</w:t>
      </w:r>
    </w:p>
    <w:p>
      <w:pPr>
        <w:widowControl/>
      </w:pPr>
      <w:r>
        <w:rPr>
          <w:rFonts w:ascii="Calibri" w:hAnsi="Calibri"/>
          <w:b w:val="0"/>
          <w:i w:val="0"/>
          <w:color w:val="1F1F1F"/>
          <w:sz w:val="21"/>
        </w:rPr>
        <w:t>Uma base brasileira pode ampliar a relevância populacional do estudo, mas sua origem não garante, por si só, maior qualidade para a tarefa proposta. A escolha deverá considerar cobertura de NORM, MI, STTC, CD e HYP, qualidade da anotação, disponibilidade das 12 derivações e possibilidade de harmonização sem alterar indevidamente o problema de pesquisa.</w:t>
      </w:r>
    </w:p>
    <w:p>
      <w:pPr>
        <w:pStyle w:val="Heading1"/>
        <w:keepNext/>
      </w:pPr>
      <w:r>
        <w:t>4. Objetivo do TCC II</w:t>
      </w:r>
    </w:p>
    <w:p>
      <w:pPr>
        <w:widowControl/>
      </w:pPr>
      <w:r>
        <w:rPr>
          <w:rFonts w:ascii="Calibri" w:hAnsi="Calibri"/>
          <w:b w:val="0"/>
          <w:i w:val="0"/>
          <w:color w:val="1F1F1F"/>
          <w:sz w:val="21"/>
        </w:rPr>
        <w:t>Aprofundar a avaliação de abordagens clássicas e profundas para a classificação de superclasses diagnósticas em ECGs de 12 derivações, preservando a formulação multiclasse strict_single_label como referência do TCC I e adotando a formulação multilabel para o benchmark principal do TCC II. O estudo reproduzirá arquiteturas originais de Helme e acrescentará famílias ausentes daquele benchmark - TCN, S4 e ECG-JEPA - sob um protocolo comum de seleção interna, avaliação final e validação externa. A comparação será interpretada como confronto entre abordagens experimentais completas, sem atribuir ao teste ou ao dataset externo qualquer papel no ajuste dos modelos.</w:t>
      </w:r>
    </w:p>
    <w:p>
      <w:pPr>
        <w:pStyle w:val="Heading2"/>
        <w:keepNext/>
      </w:pPr>
      <w:r>
        <w:t>4.1 Objetivos operacionais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1F1F1F"/>
          <w:sz w:val="21"/>
        </w:rPr>
        <w:t>Selecionar o dataset externo mais adequado após comparar rótulos, 12 derivações, frequência, qualidade das anotações, acesso, risco de sobreposição com dados de pré-treinamento e viabilidade de harmonização.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1F1F1F"/>
          <w:sz w:val="21"/>
        </w:rPr>
        <w:t>Reorganizar o repositório para separar resultados do TCC I, reproduções do benchmark, extensões modernas, avaliação interna e validação externa.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1F1F1F"/>
          <w:sz w:val="21"/>
        </w:rPr>
        <w:t>Reproduzir as arquiteturas supervisionadas selecionadas do ecg_ptbxl_benchmarking na formulação multilabel original, registrando versão, commit e adaptações mínimas.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1F1F1F"/>
          <w:sz w:val="21"/>
        </w:rPr>
        <w:t>Reavaliar Regressão Logística, SVM, Random Forest, LightGBM e CatBoost e integrar TCN, S4 e ECG-JEPA como representantes de paradigmas complementares.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1F1F1F"/>
          <w:sz w:val="21"/>
        </w:rPr>
        <w:t>Selecionar configurações exclusivamente pela validação interna, congelar os finalistas e consultar o fold 10 apenas na avaliação final.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1F1F1F"/>
          <w:sz w:val="21"/>
        </w:rPr>
        <w:t>Aplicar o modelo selecionado ao dataset externo escolhido sem reajuste por seus resultados e sem utilizar, como validação externa, uma base que tenha participado do pré-treinamento do modelo.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1F1F1F"/>
          <w:sz w:val="21"/>
        </w:rPr>
        <w:t>Consolidar métricas globais e por classe, variabilidade entre sementes, custo computacional e interpretabilidade pós-hoc com SHAP/LIME no modelo tabular e Integrated Gradients no melhor modelo profundo.</w:t>
      </w:r>
    </w:p>
    <w:p>
      <w:pPr>
        <w:pStyle w:val="Heading1"/>
        <w:keepNext/>
        <w:pageBreakBefore w:val="0"/>
      </w:pPr>
      <w:r>
        <w:t>5. Escopo experimental em duas trilhas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450"/>
        <w:gridCol w:w="3200"/>
        <w:gridCol w:w="2610"/>
      </w:tblGrid>
      <w:tr>
        <w:trPr>
          <w:tblHeader w:val="true"/>
          <w:cantSplit/>
        </w:trPr>
        <w:tc>
          <w:tcPr>
            <w:tcW w:type="dxa" w:w="1100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Trilha</w:t>
            </w:r>
          </w:p>
        </w:tc>
        <w:tc>
          <w:tcPr>
            <w:tcW w:type="dxa" w:w="2450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Pergunta</w:t>
            </w:r>
          </w:p>
        </w:tc>
        <w:tc>
          <w:tcPr>
            <w:tcW w:type="dxa" w:w="3200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Dados e protocolo</w:t>
            </w:r>
          </w:p>
        </w:tc>
        <w:tc>
          <w:tcPr>
            <w:tcW w:type="dxa" w:w="2610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A - Avaliação interna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Quais configurações apresentam melhor desempenho no protocolo do projeto?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PTB-XL; folds 1-8/9/10; multiclasse strict_single_label como referência do TCC I e multilabel de superclasses para reprodução do benchmark.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2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Resultados separados por formulação, com seleção por validação e métricas adequadas a cada tarefa.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</w:tr>
      <w:tr>
        <w:trPr>
          <w:cantSplit/>
        </w:trPr>
        <w:tc>
          <w:tcPr>
            <w:tcW w:type="dxa" w:w="1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B - Validação externa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24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O sistema selecionado mantém desempenho em outra fonte de ECG?</w:t>
            </w:r>
          </w:p>
        </w:tc>
        <w:tc>
          <w:tcPr>
            <w:tcW w:type="dxa" w:w="3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t>Dataset externo escolhido após análise comparativa e auditoria; Georgia é a recomendação principal, condicionada à compatibilidade dos rótulos.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261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  <w:t>Estimativa de generalização e análise explícita da mudança de domínio.</w:t>
            </w:r>
          </w:p>
        </w:tc>
      </w:tr>
    </w:tbl>
    <w:p>
      <w:pPr>
        <w:spacing w:before="60" w:after="80"/>
      </w:pPr>
      <w:r>
        <w:rPr>
          <w:rFonts w:ascii="Calibri" w:hAnsi="Calibri"/>
          <w:b w:val="0"/>
          <w:i/>
          <w:color w:val="5B6573"/>
          <w:sz w:val="16"/>
        </w:rPr>
        <w:t>Fonte: elaboração dos autores a partir do projeto e das referências técnicas indicadas.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F0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Regra de interpretação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 comparação entre modelos clássicos e profundos será apresentada como comparação entre configurações experimentais completas. As entradas, a representação dos dados, a frequência do sinal, a arquitetura e as estratégias de treinamento não são idênticas; portanto, os resultados não isolam apenas o efeito do algoritmo.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Modelos finais propostos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rPr>
          <w:tblHeader w:val="true"/>
          <w:cantSplit/>
        </w:trPr>
        <w:tc>
          <w:tcPr>
            <w:tcW w:type="dxa" w:w="1800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FFFFFF"/>
              </w:rPr>
              <w:t>Grupo</w:t>
            </w:r>
            <w:r>
              <w:rPr>
                <w:rFonts w:ascii="Calibri" w:hAnsi="Calibri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3000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FFFFFF"/>
              </w:rPr>
              <w:t>Modelos</w:t>
            </w:r>
            <w:r>
              <w:rPr>
                <w:rFonts w:ascii="Calibri" w:hAnsi="Calibri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4560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FFFFFF"/>
              </w:rPr>
              <w:t>Papel no TCC II</w:t>
            </w:r>
            <w:r>
              <w:rPr>
                <w:rFonts w:ascii="Calibri" w:hAnsi="Calibri"/>
                <w:b/>
                <w:i w:val="0"/>
                <w:color w:val="FFFFFF"/>
                <w:sz w:val="17"/>
              </w:rPr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Baseline clássico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Regressão Logística, SVM, Random Forest, LightGBM e CatBoost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Referência baseada em atributos estatísticos; reavaliação controlada em 500 Hz, com a multiclasse do TCC I preservada e adaptação multilabel apenas quando metodologicamente comparavel.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Benchmark de Helme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inception1d, xresnet1d101, resnet1d_wang, fcn_wang, LSTM e BiLSTM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Reprodução das implementações originais na tarefa multilabel e em 100 Hz. Wavelet+NN será mantida como referência suplementar se a reprodução integral couber no fluxo.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Convolução temporal moderna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TCN com convoluções dilatadas e conexões residuais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Avaliar se campos receptivos temporais ampliados capturam padrões que não são modelados explicitamente pelas CNNs do benchmark.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Espaço de estados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S4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Representar uma família voltada a dependências longas em sequências, ausente do benchmark original de Helme.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Aprendizado autossupervisionado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ECG-JEPA; CPC como contingência tecnicamente mais simples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Comparar treinamento do zero com transferência de representações pre-treinadas, controlando a origem dos dados de pré-treinamento.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Interpretabilidade profunda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Integrated Gradients no melhor modelo profundo; ProtoECGNet opcional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Explicar regiões temporais e derivações relevantes para a predição sem interpretar atribuição como causalidade ou validação clínica.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Referência histórica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CNN simples, ResNet1D leve, InceptionTime adaptada e ResNet1D-SE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Preservar os resultados do TCC I para contextualização, sem confundi-los com as reproduções originais ou com o novo benchmark multilabel.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</w:tr>
    </w:tbl>
    <w:p>
      <w:pPr>
        <w:spacing w:before="60" w:after="80"/>
      </w:pPr>
      <w:r>
        <w:rPr>
          <w:rFonts w:ascii="Calibri" w:hAnsi="Calibri"/>
          <w:b w:val="0"/>
          <w:i/>
          <w:color w:val="5B6573"/>
          <w:sz w:val="16"/>
        </w:rPr>
        <w:t>Fonte: elaboração dos autores a partir do projeto e das referências técnicas indicadas.</w:t>
      </w:r>
    </w:p>
    <w:p>
      <w:pPr>
        <w:widowControl/>
      </w:pPr>
      <w:r>
        <w:rPr>
          <w:rFonts w:ascii="Calibri" w:hAnsi="Calibri"/>
          <w:b w:val="0"/>
          <w:i w:val="0"/>
          <w:color w:val="1F1F1F"/>
          <w:sz w:val="21"/>
        </w:rPr>
        <w:t>As arquiteturas de referência serão obtidas do repositório oficial ecg_ptbxl_benchmarking, com a versão exata do código registrada por commit. A reprodução principal seguirá a tarefa multilabel, os alvos multi-hot, a binary cross-entropy e o protocolo original em 100 Hz. TCN, S4 e ECG-JEPA serão incorporados como extensões cientificamente distintas e comparados, sempre que tecnicamente possível, com os mesmos dados, folds e métricas. Experimentos em 500 Hz serão apresentados separadamente e priorizados apenas para os finalistas. ProtoECGNet, ST-MEM, PatchECG e modelos fundacionais de maior porte permanecem como extensões condicionais, não como requisitos do escopo mínimo.</w:t>
      </w:r>
    </w:p>
    <w:p>
      <w:pPr>
        <w:pStyle w:val="Heading1"/>
        <w:keepNext/>
      </w:pPr>
      <w:r>
        <w:t>7. Estratégia de treinamento e avaliação</w:t>
      </w:r>
    </w:p>
    <w:p>
      <w:pPr>
        <w:pStyle w:val="ListNumber"/>
        <w:widowControl/>
      </w:pPr>
      <w:r>
        <w:rPr>
          <w:rFonts w:ascii="Calibri" w:hAnsi="Calibri"/>
          <w:b w:val="0"/>
          <w:i w:val="0"/>
          <w:color w:val="1F1F1F"/>
          <w:sz w:val="21"/>
        </w:rPr>
        <w:t>Fixar seeds, versões das bibliotecas, hardware utilizado e commit do código antes das execuções finais.</w:t>
      </w:r>
    </w:p>
    <w:p>
      <w:pPr>
        <w:pStyle w:val="ListNumber"/>
        <w:widowControl/>
      </w:pPr>
      <w:r>
        <w:rPr>
          <w:rFonts w:ascii="Calibri" w:hAnsi="Calibri"/>
          <w:b w:val="0"/>
          <w:i w:val="0"/>
          <w:color w:val="1F1F1F"/>
          <w:sz w:val="21"/>
        </w:rPr>
        <w:t>Calcular normalização, imputação, pesos de classe e qualquer parâmetro aprendido exclusivamente no treino.</w:t>
      </w:r>
    </w:p>
    <w:p>
      <w:pPr>
        <w:pStyle w:val="ListNumber"/>
        <w:widowControl/>
      </w:pPr>
      <w:r>
        <w:rPr>
          <w:rFonts w:ascii="Calibri" w:hAnsi="Calibri"/>
          <w:b w:val="0"/>
          <w:i w:val="0"/>
          <w:color w:val="1F1F1F"/>
          <w:sz w:val="21"/>
        </w:rPr>
        <w:t>Usar o fold 9 para hiperparâmetros, early stopping e escolha de checkpoint. Na referência multiclasse, priorizar F1-score macro; no benchmark multilabel, priorizar AUC macro e reportar Fmax, AUPRC macro e resultados por classe quando disponíveis. O critério de seleção será definido antes de cada família de experimentos e nunca alterado após a consulta ao teste.</w:t>
      </w:r>
    </w:p>
    <w:p>
      <w:pPr>
        <w:pStyle w:val="ListNumber"/>
        <w:widowControl/>
      </w:pPr>
      <w:r>
        <w:rPr>
          <w:rFonts w:ascii="Calibri" w:hAnsi="Calibri"/>
          <w:b w:val="0"/>
          <w:i w:val="0"/>
          <w:color w:val="1F1F1F"/>
          <w:sz w:val="21"/>
        </w:rPr>
        <w:t>Limitar o ajuste a uma busca previamente definida; evitar tuning aberto ou repetido após observar o teste.</w:t>
      </w:r>
    </w:p>
    <w:p>
      <w:pPr>
        <w:pStyle w:val="ListNumber"/>
        <w:widowControl/>
      </w:pPr>
      <w:r>
        <w:rPr>
          <w:rFonts w:ascii="Calibri" w:hAnsi="Calibri"/>
          <w:b w:val="0"/>
          <w:i w:val="0"/>
          <w:color w:val="1F1F1F"/>
          <w:sz w:val="21"/>
        </w:rPr>
        <w:t>Executar múltiplas sementes nos modelos finalistas quando houver componentes estocásticos e recursos disponíveis.</w:t>
      </w:r>
    </w:p>
    <w:p>
      <w:pPr>
        <w:pStyle w:val="ListNumber"/>
        <w:widowControl/>
      </w:pPr>
      <w:r>
        <w:rPr>
          <w:rFonts w:ascii="Calibri" w:hAnsi="Calibri"/>
          <w:b w:val="0"/>
          <w:i w:val="0"/>
          <w:color w:val="1F1F1F"/>
          <w:sz w:val="21"/>
        </w:rPr>
        <w:t>Avaliar o fold 10 uma única vez para cada configuração final congelada.</w:t>
      </w:r>
    </w:p>
    <w:p>
      <w:pPr>
        <w:pStyle w:val="ListNumber"/>
        <w:widowControl/>
      </w:pPr>
      <w:r>
        <w:rPr>
          <w:rFonts w:ascii="Calibri" w:hAnsi="Calibri"/>
          <w:b w:val="0"/>
          <w:i w:val="0"/>
          <w:color w:val="1F1F1F"/>
          <w:sz w:val="21"/>
        </w:rPr>
        <w:t>Selecionar e congelar o candidato a validação externa antes de consultar suas métricas no dataset externo escolhido. Confirmar, antes da avaliação, que essa base não foi usada no pré-treinamento ou no ajuste do checkpoint selecionado.</w:t>
      </w:r>
    </w:p>
    <w:p>
      <w:pPr>
        <w:pStyle w:val="ListNumber"/>
        <w:widowControl/>
      </w:pPr>
      <w:r>
        <w:rPr>
          <w:rFonts w:ascii="Calibri" w:hAnsi="Calibri"/>
          <w:b w:val="0"/>
          <w:i w:val="0"/>
          <w:color w:val="1F1F1F"/>
          <w:sz w:val="21"/>
        </w:rPr>
        <w:t>Na multiclasse, reportar accuracy, balanced accuracy, precision macro, recall macro, F1 macro, F1 weighted, métricas por classe e matriz de confusão. Na multilabel, reportar AUC macro, AUC por classe e Fmax; métricas dependentes de limiar só serão apresentadas com limiares definidos no treino ou na validação. Em ambas, registrar tempo e custo computacional.</w:t>
      </w:r>
    </w:p>
    <w:p>
      <w:pPr>
        <w:widowControl/>
      </w:pPr>
      <w:r>
        <w:rPr>
          <w:rFonts w:ascii="Calibri" w:hAnsi="Calibri"/>
          <w:b w:val="0"/>
          <w:i w:val="0"/>
          <w:color w:val="1F1F1F"/>
          <w:sz w:val="21"/>
        </w:rPr>
        <w:t>Com maior disponibilidade de processamento, será possível manter sinais e caches processados em memória, executar modelos nas configurações originais e reduzir gargalos de leitura. O ambiente efetivamente utilizado, a versão de cada repositório, as seeds e as configurações de execução serão registrados. Maior capacidade computacional não será usada para ampliar indefinidamente o espaço de busca, que permanecerá previamente delimitado.</w:t>
      </w:r>
    </w:p>
    <w:p>
      <w:pPr>
        <w:pStyle w:val="Heading1"/>
        <w:keepNext/>
      </w:pPr>
      <w:r>
        <w:t>8. Melhoria dos modelos clássicos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1F1F1F"/>
          <w:sz w:val="21"/>
        </w:rPr>
        <w:t xml:space="preserve"> Usar records500 como configuração principal do TCC II, preservando records100 como referência histórica e modo de depuração.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1F1F1F"/>
          <w:sz w:val="21"/>
        </w:rPr>
        <w:t xml:space="preserve"> Manter os atributos estatísticos já implementados e avaliar descritores espectrais simples; atributos morfológicos ou de variabilidade só serão incluídos se extraídos de forma confiável e testável.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1F1F1F"/>
          <w:sz w:val="21"/>
        </w:rPr>
        <w:t xml:space="preserve"> Revisar pipelines de imputação, escala, seleção de atributos e pesos de classe, todos ajustados exclusivamente no treino.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1F1F1F"/>
          <w:sz w:val="21"/>
        </w:rPr>
        <w:t xml:space="preserve"> Comparar sem balanceamento, class_weight e SMOTE somente no treino; não assumir que SMOTE produz melhoria uniforme.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1F1F1F"/>
          <w:sz w:val="21"/>
        </w:rPr>
        <w:t xml:space="preserve"> Aplicar busca pequena e reproduzível no fold 9, com orçamento equivalente entre modelos e F1 macro como critério principal.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1F1F1F"/>
          <w:sz w:val="21"/>
        </w:rPr>
        <w:t xml:space="preserve"> Registrar tempo, memória, parâmetros, métricas por classe e dispersão entre sementes para os modelos estocásticos finalistas.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9. Recomendação e auditoria da base de validação externa</w:t>
      </w:r>
    </w:p>
    <w:p>
      <w:pPr>
        <w:widowControl/>
      </w:pPr>
      <w:r>
        <w:rPr>
          <w:rFonts w:ascii="Calibri" w:hAnsi="Calibri"/>
          <w:b w:val="0"/>
          <w:i w:val="0"/>
          <w:color w:val="1F1F1F"/>
          <w:sz w:val="21"/>
        </w:rPr>
        <w:t>A Georgia permanece como a base mais indicada para a validação externa neste TCC II por combinar ECGs de 12 derivações, 10 segundos, 500 Hz, acesso público e origem populacional distinta do PTB-XL. A escolha somente será confirmada após auditoria de rótulos, cobertura por classe, qualidade dos sinais, diferenças de domínio e compatibilidade com a formulação multilabel. Se o modelo final utilizar pré-treinamento que inclua Georgia, outro checkpoint ou outra base externa independente deverá ser selecionado.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500"/>
        <w:gridCol w:w="2950"/>
        <w:gridCol w:w="3020"/>
        <w:gridCol w:w="1890"/>
      </w:tblGrid>
      <w:tr>
        <w:trPr>
          <w:tblHeader w:val="true"/>
          <w:cantSplit/>
        </w:trPr>
        <w:tc>
          <w:tcPr>
            <w:tcW w:type="dxa" w:w="1500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Base candidata</w:t>
            </w:r>
          </w:p>
        </w:tc>
        <w:tc>
          <w:tcPr>
            <w:tcW w:type="dxa" w:w="2950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Potencial para o projeto</w:t>
            </w:r>
          </w:p>
        </w:tc>
        <w:tc>
          <w:tcPr>
            <w:tcW w:type="dxa" w:w="3020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Limitação principal</w:t>
            </w:r>
          </w:p>
        </w:tc>
        <w:tc>
          <w:tcPr>
            <w:tcW w:type="dxa" w:w="1890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Papel possível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EA"/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Georgia</w:t>
            </w:r>
          </w:p>
        </w:tc>
        <w:tc>
          <w:tcPr>
            <w:tcW w:type="dxa" w:w="2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EA"/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ECGs de 12 derivações em 500 Hz, formato próximo ao PTB-XL e mapeamento diagnóstico viável.</w:t>
            </w:r>
          </w:p>
        </w:tc>
        <w:tc>
          <w:tcPr>
            <w:tcW w:type="dxa" w:w="30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EA"/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Rótulos multi-label em SNOMED-CT ainda exigem auditoria e mapeamento para as cinco superclasses.</w:t>
            </w:r>
          </w:p>
        </w:tc>
        <w:tc>
          <w:tcPr>
            <w:tcW w:type="dxa" w:w="18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EA"/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E7D32"/>
                <w:sz w:val="16"/>
              </w:rPr>
              <w:t>Recomendação principal para validação externa, condicionada à auditoria.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CODE-15%</w:t>
            </w:r>
          </w:p>
        </w:tc>
        <w:tc>
          <w:tcPr>
            <w:tcW w:type="dxa" w:w="29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Base brasileira ampla, pública e relevante para discutir aplicabilidade nacional.</w:t>
            </w:r>
          </w:p>
        </w:tc>
        <w:tc>
          <w:tcPr>
            <w:tcW w:type="dxa" w:w="302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Os rótulos disponíveis não cobrem diretamente todas as superclasses MI, STTC e HYP.</w:t>
            </w:r>
          </w:p>
        </w:tc>
        <w:tc>
          <w:tcPr>
            <w:tcW w:type="dxa" w:w="189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Continuidade futura, pré-treinamento ou análise brasileira parcial.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MIMIC-IV-ECG</w:t>
            </w:r>
          </w:p>
        </w:tc>
        <w:tc>
          <w:tcPr>
            <w:tcW w:type="dxa" w:w="2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Grande escala, 12 derivações e origem institucional distinta.</w:t>
            </w:r>
          </w:p>
        </w:tc>
        <w:tc>
          <w:tcPr>
            <w:tcW w:type="dxa" w:w="30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Construção dos rótulos e eventual ligação com dados clínicos aumentam o custo e a complexidade de acesso.</w:t>
            </w:r>
          </w:p>
        </w:tc>
        <w:tc>
          <w:tcPr>
            <w:tcW w:type="dxa" w:w="18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Alternativa futura de alta força científica, caso a rotulagem seja viável.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ICBEB2018</w:t>
            </w:r>
          </w:p>
        </w:tc>
        <w:tc>
          <w:tcPr>
            <w:tcW w:type="dxa" w:w="29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Já é contemplada pelo benchmark oficial e favorece reprodução e transferência.</w:t>
            </w:r>
          </w:p>
        </w:tc>
        <w:tc>
          <w:tcPr>
            <w:tcW w:type="dxa" w:w="302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As classes originais não correspondem diretamente às cinco superclasses atuais.</w:t>
            </w:r>
          </w:p>
        </w:tc>
        <w:tc>
          <w:tcPr>
            <w:tcW w:type="dxa" w:w="189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  <w:t>Benchmark secundário ou análise de transferência.</w:t>
            </w:r>
          </w:p>
        </w:tc>
      </w:tr>
    </w:tbl>
    <w:p>
      <w:pPr>
        <w:spacing w:before="60" w:after="80"/>
      </w:pPr>
      <w:r>
        <w:rPr>
          <w:rFonts w:ascii="Calibri" w:hAnsi="Calibri"/>
          <w:b w:val="0"/>
          <w:i/>
          <w:color w:val="5B6573"/>
          <w:sz w:val="16"/>
        </w:rPr>
        <w:t>Fonte: elaboração dos autores a partir do projeto e das referências técnicas indicadas.</w:t>
      </w:r>
    </w:p>
    <w:p>
      <w:pPr>
        <w:widowControl/>
      </w:pPr>
      <w:r>
        <w:rPr>
          <w:rFonts w:ascii="Calibri" w:hAnsi="Calibri"/>
          <w:b w:val="0"/>
          <w:i w:val="0"/>
          <w:color w:val="1F1F1F"/>
          <w:sz w:val="21"/>
        </w:rPr>
        <w:t>Recomenda-se ao orientador aprovar a Georgia como primeira opção, condicionada a auditoria e a ausência de contaminação pelo pré-treinamento. CODE-15% oferece relevância brasileira e grande escala, mas seu espaço de rótulos não corresponde diretamente a todas as superclasses; MIMIC-IV-ECG é valiosa para pré-treinamento, mas exige acesso e construção de rótulos; ICBEB2018 favorece comparação com o benchmark original, embora utilize classes diferentes. A decisão final registrará versão, licença, frequência, duração, sistema de rótulos, suporte por classe, origem populacional e eventual participação da base em pré-treinamentos.</w:t>
      </w:r>
    </w:p>
    <w:p>
      <w:pPr>
        <w:pStyle w:val="Heading1"/>
        <w:keepNext/>
      </w:pPr>
      <w:r>
        <w:t>10. Escopo mínimo para conclusão do TCC II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4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b/>
              </w:rPr>
              <w:t>Escopo obrigatório</w:t>
            </w:r>
            <w:r>
              <w:rPr>
                <w:rFonts w:ascii="Calibri" w:hAnsi="Calibri"/>
                <w:b/>
                <w:i w:val="0"/>
                <w:color w:val="2E7D32"/>
                <w:sz w:val="22"/>
              </w:rPr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(1) pipeline multilabel auditado e referência multiclasse preservada; (2) cinco modelos clássicos reavaliados; (3) benchmark original de Helme reproduzido com pelo menos os representantes convolutionais principais e recorrente bidirecional; (4) TCN, S4 e ECG-JEPA executados como extensões centrais; (5) seleção por validação e teste interno consultado apenas após congelamento; (6) dataset externo selecionado, auditado e mantido fora de treino e pré-treinamento; (7) validação externa do candidato congelado; (8) SHAP/LIME no tabular e Integrated Gradients no profundo; (9) métricas, custo, variabilidade, texto e apresentação consolidados.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4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b/>
              </w:rPr>
              <w:t>Extensões condicionais</w:t>
            </w:r>
            <w:r>
              <w:rPr>
                <w:rFonts w:ascii="Calibri" w:hAnsi="Calibri"/>
                <w:b/>
                <w:i w:val="0"/>
                <w:color w:val="9A6700"/>
                <w:sz w:val="22"/>
              </w:rPr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ProtoECGNet, Wavelet+NN quando não concluida na reprodução principal, segunda base externa, ensembles, ST-MEM, PatchECG, HeartLang, ECG-FM, ECGFounder e avaliação com médicos somente serão considerados depois do escopo obrigatório e mediante concordancia do orientador.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Plano de execução orientado por entregas</w:t>
      </w:r>
    </w:p>
    <w:p>
      <w:pPr>
        <w:widowControl/>
      </w:pPr>
      <w:r>
        <w:rPr>
          <w:rFonts w:ascii="Calibri" w:hAnsi="Calibri"/>
          <w:b w:val="0"/>
          <w:i w:val="0"/>
          <w:color w:val="1F1F1F"/>
          <w:sz w:val="21"/>
        </w:rPr>
        <w:t>A execução será conduzida por entregas verificáveis, e não por semanas rígidas. Cada atividade poderá ser antecipada assim que seus pré-requisitos estiverem satisfeitos; tarefas independentes, como auditoria da base externa, preparação do ambiente e documentação, poderão ocorrer em paralelo. A referência interna de outubro permanece apenas como margem de segurança, sem impedir a conclusão antecipada de qualquer bloco.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400"/>
        <w:gridCol w:w="3350"/>
        <w:gridCol w:w="2810"/>
      </w:tblGrid>
      <w:tr>
        <w:trPr>
          <w:tblHeader w:val="true"/>
          <w:cantSplit/>
        </w:trPr>
        <w:tc>
          <w:tcPr>
            <w:tcW w:type="dxa" w:w="800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FFFFFF"/>
              </w:rPr>
              <w:t>Etapa</w:t>
            </w:r>
            <w:r>
              <w:rPr>
                <w:rFonts w:ascii="Calibri" w:hAnsi="Calibri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2400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FFFFFF"/>
              </w:rPr>
              <w:t>Atividade</w:t>
            </w:r>
            <w:r>
              <w:rPr>
                <w:rFonts w:ascii="Calibri" w:hAnsi="Calibri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3350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FFFFFF"/>
              </w:rPr>
              <w:t>Entrega/verificação</w:t>
            </w:r>
            <w:r>
              <w:rPr>
                <w:rFonts w:ascii="Calibri" w:hAnsi="Calibri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2810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FFFFFF"/>
              </w:rPr>
              <w:t>Pode iniciar quando</w:t>
            </w:r>
            <w:r>
              <w:rPr>
                <w:rFonts w:ascii="Calibri" w:hAnsi="Calibri"/>
                <w:b/>
                <w:i w:val="0"/>
                <w:color w:val="FFFFFF"/>
                <w:sz w:val="16"/>
              </w:rPr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1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Preservar o TCC I e inventariar código, resultados, checkpoints e dados.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Marco do TCC I identificável; inventário e checklist de integridade.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2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Imediatamente.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2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Fixar protocolo multilabel, métricas, folds, seeds e regras de seleção.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Protocolo versionado e aprovado; testes que impedem uso indevido do fold 10.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2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Imediatamente, em paralelo a etapa 1.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3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Auditar Georgia e alternativas externas, incluindo rótulos e sobreposição com pré-treinamento.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Matriz de decisão e dataset externo selecionado ou contingência acionada.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2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Imediatamente; independe dos treinamentos.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4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Preparar caches, ambiente, rastreamento de experimentos e pipeline multilabel.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Smoke test reproduzivel com treino 1-8, validação 9 e teste 10 bloqueado.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2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Após a definição preliminar do protocolo.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5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Reproduzir os modelos originais de Helme em 100 Hz.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Resultados de validação comparáveis ao benchmark e origem do código registrada.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2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Quando o pipeline multilabel passar nos smoke tests.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6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Reavaliar modelos clássicos e atributos em 500 Hz.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Busca controlada, artefatos e melhores configurações escolhidas no fold 9.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2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Quando os caches e pipelines tabulares estiverem prontos; pode ocorrer em paralelo a etapa 5.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7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Integrar e validar TCN.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Arquitetura testada, histórico salvo e resultado de validação registrado.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2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Após a etapa 4; pode ocorrer em paralelo aos demais modelos.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8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Integrar e validar S4.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Arquitetura testada, custo medido e resultado de validação registrado.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2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Após a etapa 4 e verificação das dependências específicas.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9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Integrar ECG-JEPA e auditar os dados usados no checkpoint.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Regime de transferência documentado; validação registrada; ausência de contaminação externa confirmada.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2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Após a etapa 3 definir qual base deverá permanecer externa.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10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Executar sementes finalistas e congelar configurações.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Ranking de validação, variabilidade, custo e manifestos dos finalistas.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2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Quando cada família obrigatória tiver ao menos uma execução válida.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11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Avaliar fold 10 e, depois, executar a validação externa uma única vez.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Métricas internas e externas finais, sem reajuste posterior pelos resultados externos.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2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Somente após congelamento formal dos modelos e do mapeamento de rótulos.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12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Executar interpretabilidade, consolidar artefatos e atualizar texto/apresentação.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SHAP/LIME, Integrated Gradients, tabelas, figuras e versão completa para revisão.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  <w:tc>
          <w:tcPr>
            <w:tcW w:type="dxa" w:w="2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Pode iniciar com modelos congelados; redação metodológica pode ser adiantada desde a etapa 2.</w:t>
            </w:r>
            <w:r>
              <w:rPr>
                <w:rFonts w:ascii="Calibri" w:hAnsi="Calibri"/>
                <w:b w:val="0"/>
                <w:i w:val="0"/>
                <w:color w:val="1F1F1F"/>
                <w:sz w:val="16"/>
              </w:rPr>
            </w:r>
          </w:p>
        </w:tc>
      </w:tr>
    </w:tbl>
    <w:p>
      <w:pPr>
        <w:pStyle w:val="Heading1"/>
        <w:keepNext/>
      </w:pPr>
      <w:r>
        <w:t>12. Entregáveis e critérios de aceite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FFFFFF"/>
              </w:rPr>
              <w:t>Entregavel</w:t>
            </w:r>
            <w:r>
              <w:rPr>
                <w:rFonts w:ascii="Calibri" w:hAnsi="Calibri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6660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FFFFFF"/>
              </w:rPr>
              <w:t>Critério mínimo de aceite</w:t>
            </w:r>
            <w:r>
              <w:rPr>
                <w:rFonts w:ascii="Calibri" w:hAnsi="Calibri"/>
                <w:b/>
                <w:i w:val="0"/>
                <w:color w:val="FFFFFF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Protocolo e ambiente reproduziveis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Dependências, seeds, hardware, commits, folds, métricas e comandos registrados; teste bloqueado durante seleção.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Relatorio da base externa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Comparação das candidatas, escolha justificada, licença, rótulos, distribuição, limitações e sobreposição com pré-treinamento auditadas.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Baselines clássicos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Cinco modelos executados sob orçamento comparavel, sem vazamento e com resultados salvos.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Benchmark de Helme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Implementações originais selecionadas reproduzidas em multilabel/100 Hz, com commit e adaptações documentados.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Extensões modernas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TCN, S4 e ECG-JEPA executados sob protocolo comum, com custo, validação e limitações registrados.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Avaliação interna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Configurações congeladas pela validação; fold 10 usado somente para avaliação final; tarefas apresentadas separadamente.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Validação externa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Modelo congelado aplicado sem tuning externo e sem contaminação por pré-treinamento; harmonização e mudança de domínio reportadas.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Interpretabilidade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SHAP/LIME vinculados ao modelo tabular e Integrated Gradients ao melhor profundo, sem afirmacoes de causalidade clínica.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TCC II e apresentação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Texto, tabelas, figuras, referencias e slides coerentes com resultados reais e com as decisões aprovadas.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</w:tr>
    </w:tbl>
    <w:p>
      <w:pPr>
        <w:spacing w:before="60" w:after="80"/>
      </w:pPr>
      <w:r>
        <w:rPr>
          <w:rFonts w:ascii="Calibri" w:hAnsi="Calibri"/>
          <w:b w:val="0"/>
          <w:i/>
          <w:color w:val="5B6573"/>
          <w:sz w:val="16"/>
        </w:rPr>
        <w:t>Fonte: elaboração dos autores a partir do projeto e das referências técnicas indicadas.</w:t>
      </w:r>
    </w:p>
    <w:p>
      <w:pPr>
        <w:pStyle w:val="Heading1"/>
        <w:keepNext/>
        <w:pageBreakBefore/>
      </w:pPr>
      <w:r>
        <w:t>13. Riscos, decisões e critérios de redução de escopo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700"/>
        <w:gridCol w:w="4360"/>
      </w:tblGrid>
      <w:tr>
        <w:trPr>
          <w:tblHeader w:val="true"/>
          <w:cantSplit/>
        </w:trPr>
        <w:tc>
          <w:tcPr>
            <w:tcW w:type="dxa" w:w="2300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FFFFFF"/>
              </w:rPr>
              <w:t>Risco/decisão</w:t>
            </w:r>
            <w:r>
              <w:rPr>
                <w:rFonts w:ascii="Calibri" w:hAnsi="Calibri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2700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FFFFFF"/>
              </w:rPr>
              <w:t>Impacto</w:t>
            </w:r>
            <w:r>
              <w:rPr>
                <w:rFonts w:ascii="Calibri" w:hAnsi="Calibri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4360"/>
            <w:shd w:fill="1F4D7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FFFFFF"/>
              </w:rPr>
              <w:t>Mitigação proposta</w:t>
            </w:r>
            <w:r>
              <w:rPr>
                <w:rFonts w:ascii="Calibri" w:hAnsi="Calibri"/>
                <w:b/>
                <w:i w:val="0"/>
                <w:color w:val="FFFFFF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Escopo excessivo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Muitos repositórios podem impedir análise e redação adequadas.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Manter TCN, S4 e ECG-JEPA como extensões centrais; modelos fundacionais maiores e ProtoECGNet permanecem condicionais.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Recursos computacionais insuficientes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Treinamentos ou múltiplas sementes excedem o tempo disponível.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Benchmark antecipado, checkpoints e retomada; cortar primeiro variações, buscas adicionais e sementes excedentes.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Incompatibilidade entre implementações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Repositórios usam frequências, formatos e bibliotecas diferentes.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Criar adaptadores minimos, registrar commits e separar reprodução original de extensões locais.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Contaminação da validação externa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O dataset externo pode ter participado do pré-treinamento do checkpoint.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Auditar a origem do checkpoint; usar checkpoint sem a base externa ou selecionar outra base independente.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Dataset externo sem cobertura adequada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A avaliação das superclasses pode ficar incompleta ou artificial.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Congelar o mapeamento antes da inferência e acionar a alternativa aprovada se a cobertura for insuficiente.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Comparação entre tarefas ou entradas diferentes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Resultados podem ser interpretados como efeito isolado do algoritmo.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Separar multiclasse de multilabel e registrar representação, frequência, pré-treinamento e protocolo de cada configuração.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Tuning excessivo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Sobreajuste ao fold 9 e atraso da execução.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Definir orçamento e espaço de busca antes dos experimentos; não reformular a busca após observar o teste.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Licenças ou pesos indisponiveis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Uma implementação moderna pode não ser reutilizável no prazo.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Verificar licença e checkpoint antes da integração; CPC e implementações abertas funcionam como contingência.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Avaliação com médicos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Prazo, protocolo e exigências éticas incompatíveis com o escopo mínimo.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Manter como continuidade; iniciar apenas com orientação formal e viabilidade institucional.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Base brasileira incompatível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A relevância geográfica pode exigir mudança indevida do problema.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</w:rPr>
              <w:t>Usar CODE-15% em objetivo complementar ou pré-treinamento, sem forçar equivalência de rótulos.</w:t>
            </w:r>
            <w:r>
              <w:rPr>
                <w:rFonts w:ascii="Calibri" w:hAnsi="Calibri"/>
                <w:b w:val="0"/>
                <w:i w:val="0"/>
                <w:color w:val="1F1F1F"/>
                <w:sz w:val="17"/>
              </w:rPr>
            </w:r>
          </w:p>
        </w:tc>
      </w:tr>
    </w:tbl>
    <w:p>
      <w:pPr>
        <w:spacing w:before="60" w:after="80"/>
      </w:pPr>
      <w:r>
        <w:rPr>
          <w:rFonts w:ascii="Calibri" w:hAnsi="Calibri"/>
          <w:b w:val="0"/>
          <w:i/>
          <w:color w:val="5B6573"/>
          <w:sz w:val="16"/>
        </w:rPr>
        <w:t>Fonte: elaboração dos autores a partir do projeto e das referências técnicas indicadas.</w:t>
      </w:r>
    </w:p>
    <w:p>
      <w:pPr>
        <w:pStyle w:val="Heading1"/>
        <w:keepNext/>
      </w:pPr>
      <w:r>
        <w:t>14. Referências técnicas para o planejamento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1F1F1F"/>
          <w:sz w:val="21"/>
        </w:rPr>
        <w:t xml:space="preserve"> STRODTHOFF, N. et al. Deep Learning for ECG Analysis: Benchmarks and Insights from PTB-XL. IEEE Journal of Biomedical and Health Informatics, 2021.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1F1F1F"/>
          <w:sz w:val="21"/>
        </w:rPr>
        <w:t xml:space="preserve"> Repositório oficial ecg_ptbxl_benchmarking: https://github.com/helme/ecg_ptbxl_benchmarking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1F1F1F"/>
          <w:sz w:val="21"/>
        </w:rPr>
        <w:t xml:space="preserve"> PTB-XL no PhysioNet: https://physionet.org/content/ptb-xl/1.0.3/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1F1F1F"/>
          <w:sz w:val="21"/>
        </w:rPr>
        <w:t xml:space="preserve"> PhysioNet/Computing in Cardiology Challenge e Georgia: https://physionet.org/content/challenge-2020/1.0.2/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1F1F1F"/>
          <w:sz w:val="21"/>
        </w:rPr>
        <w:t xml:space="preserve"> CODE-15% no Zenodo: https://zenodo.org/records/4916206</w:t>
      </w:r>
    </w:p>
    <w:p>
      <w:pPr>
        <w:pStyle w:val="ListBullet"/>
        <w:widowControl/>
      </w:pPr>
      <w:r>
        <w:rPr>
          <w:rFonts w:ascii="Calibri" w:hAnsi="Calibri"/>
          <w:b w:val="0"/>
          <w:i w:val="0"/>
          <w:color w:val="1F1F1F"/>
          <w:sz w:val="21"/>
        </w:rPr>
        <w:t xml:space="preserve"> MIMIC-IV-ECG no PhysioNet: https://physionet.org/content/mimic-iv-ecg/1.0/</w:t>
      </w:r>
    </w:p>
    <w:p>
      <w:pPr>
        <w:pStyle w:val="ListBullet"/>
      </w:pPr>
      <w:r>
        <w:t>Repositório de aprendizado autossupervisionado em ECG: https://github.com/tmehari/ecg-selfsupervised</w:t>
      </w:r>
    </w:p>
    <w:p>
      <w:pPr>
        <w:pStyle w:val="ListBullet"/>
      </w:pPr>
      <w:r>
        <w:t>Repositório S4 para ECG: https://github.com/tmehari/ssm_ecg</w:t>
      </w:r>
    </w:p>
    <w:p>
      <w:pPr>
        <w:pStyle w:val="ListBullet"/>
      </w:pPr>
      <w:r>
        <w:t>Repositório ECG-JEPA: https://github.com/kweimann/ECG-JEPA</w:t>
      </w:r>
    </w:p>
    <w:p>
      <w:pPr>
        <w:pStyle w:val="ListBullet"/>
      </w:pPr>
      <w:r>
        <w:t>Repositório ProtoECGNet: https://github.com/bbj-lab/protoecgnet</w:t>
      </w:r>
    </w:p>
    <w:p>
      <w:pPr>
        <w:pStyle w:val="Heading1"/>
        <w:keepNext/>
      </w:pPr>
      <w:r>
        <w:t>15. Encaminhamento</w:t>
      </w:r>
    </w:p>
    <w:p>
      <w:pPr>
        <w:widowControl/>
      </w:pPr>
      <w:r>
        <w:rPr>
          <w:rFonts w:ascii="Calibri" w:hAnsi="Calibri"/>
          <w:b w:val="0"/>
          <w:i w:val="0"/>
          <w:color w:val="1F1F1F"/>
          <w:sz w:val="21"/>
        </w:rPr>
        <w:t>Solicita-se a validação do orientador quanto a seis decisões: (1) adoção da formulação multilabel como trilha principal, mantendo a multiclasse do TCC I como referência; (2) reprodução das arquiteturas supervisionadas de Helme e inclusão de TCN, S4 e ECG-JEPA como extensões centrais; (3) aplicação de SHAP/LIME ao melhor modelo tabular e Integrated Gradients ao melhor modelo profundo, mantendo ProtoECGNet como opcional; (4) Georgia como primeira candidata externa, condicionada a auditoria, harmonização e ausência de sobreposição com pré-treinamento; (5) modelos fundacionais maiores, segunda base externa e avaliação com médicos fora do escopo obrigatório; e (6) execução orientada por entregas, com redução de escopo apenas segundo os critérios registrados. Após essa validação, o plano poderá ser transposto para o formulário institucional do TCC II.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E8F0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Orientador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Comentários / aprovação:</w:t>
              <w:br/>
              <w:br/>
            </w:r>
          </w:p>
        </w:tc>
      </w:tr>
      <w:tr>
        <w:trPr>
          <w:cantSplit/>
        </w:trPr>
        <w:tc>
          <w:tcPr>
            <w:tcW w:type="dxa" w:w="1900"/>
            <w:shd w:fill="E8F0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Alunos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Ajustes acordados:</w:t>
              <w:br/>
              <w:br/>
            </w:r>
          </w:p>
        </w:tc>
      </w:tr>
      <w:tr>
        <w:trPr>
          <w:cantSplit/>
        </w:trPr>
        <w:tc>
          <w:tcPr>
            <w:tcW w:type="dxa" w:w="1900"/>
            <w:shd w:fill="E8F0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Data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____ / ____ / 2026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5B6573"/>
        <w:sz w:val="17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B6573"/>
        <w:sz w:val="17"/>
      </w:rPr>
      <w:t>PLANO DE CONTINUIDADE - TCC II  |  2026.2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40" w:line="293" w:lineRule="auto"/>
      <w:jc w:val="both"/>
    </w:pPr>
    <w:rPr>
      <w:rFonts w:ascii="Calibri" w:hAnsi="Calibri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9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Continuidade e Execução - TCC II 2026.2</dc:title>
  <dc:subject>Planejamento técnico e acadêmico para continuidade do TCC I</dc:subject>
  <dc:creator>Arysson André Oliveira da Luz; Paulo Victor Oliveira de Barros Araújo</dc:creator>
  <cp:keywords>TCC II, PTB-XL, ECG, validação externa, Georgia, deep learning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