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ptos" w:cs="Aptos" w:eastAsia="Aptos" w:hAnsi="Aptos"/>
          <w:b w:val="1"/>
          <w:color w:val="1db0a3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color w:val="1db0a3"/>
          <w:sz w:val="28"/>
          <w:szCs w:val="28"/>
          <w:rtl w:val="0"/>
        </w:rPr>
        <w:t xml:space="preserve">Sessão 01 | Pix Automático: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ptos" w:cs="Aptos" w:eastAsia="Aptos" w:hAnsi="Aptos"/>
          <w:b w:val="1"/>
          <w:color w:val="1db0a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Conheça a nova funcionalidade automatiza pagamentos recorrentes, incluindo valores variáveis,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trazendo benefícios diretos para empresas e consumidores.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CTA → </w:t>
      </w:r>
      <w:r w:rsidDel="00000000" w:rsidR="00000000" w:rsidRPr="00000000">
        <w:rPr>
          <w:b w:val="1"/>
          <w:rtl w:val="0"/>
        </w:rPr>
        <w:t xml:space="preserve">Saiba mais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