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6B9C" w14:textId="77777777" w:rsidR="001D7DA7" w:rsidRDefault="001D7DA7">
      <w:pPr>
        <w:pStyle w:val="Corpodetexto2"/>
        <w:spacing w:line="240" w:lineRule="auto"/>
        <w:jc w:val="center"/>
        <w:rPr>
          <w:b/>
          <w:bCs/>
        </w:rPr>
      </w:pPr>
    </w:p>
    <w:p w14:paraId="4A8FAE08" w14:textId="6F368344" w:rsidR="001A2EA5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Área temática: </w:t>
      </w:r>
      <w:r w:rsidR="009D53AB">
        <w:rPr>
          <w:rFonts w:ascii="Times New Roman" w:eastAsia="Times New Roman" w:hAnsi="Times New Roman" w:cs="Times New Roman"/>
          <w:sz w:val="24"/>
          <w:szCs w:val="24"/>
        </w:rPr>
        <w:t>Nutrição Clínica</w:t>
      </w:r>
    </w:p>
    <w:p w14:paraId="05143BA2" w14:textId="77777777" w:rsidR="001A2EA5" w:rsidRPr="00F61106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405757" w14:textId="05B71905" w:rsidR="001A2EA5" w:rsidRDefault="003228F7" w:rsidP="001A2EA5">
      <w:pPr>
        <w:pStyle w:val="Normal1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AVALIAÇÃO NUTRICIONAL E FUNCIONAL DE PACIENTES COM DOENÇA INFLAMATÓRIA INTESTINAL ATENDIDOS EM UM HOSPITAL ESCOLA DE MACEIÓ-AL</w:t>
      </w:r>
    </w:p>
    <w:p w14:paraId="6363AC39" w14:textId="77777777" w:rsidR="001A2EA5" w:rsidRPr="007D7380" w:rsidRDefault="001A2EA5" w:rsidP="001A2EA5">
      <w:pPr>
        <w:pStyle w:val="Normal1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2FE39" w14:textId="0D7CB129" w:rsidR="001A2EA5" w:rsidRPr="008D0A78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0A78">
        <w:rPr>
          <w:rFonts w:ascii="Times New Roman" w:eastAsia="Times New Roman" w:hAnsi="Times New Roman" w:cs="Times New Roman"/>
          <w:b/>
          <w:sz w:val="24"/>
          <w:szCs w:val="24"/>
        </w:rPr>
        <w:t xml:space="preserve">Marina Demas Rezende </w:t>
      </w:r>
      <w:proofErr w:type="spellStart"/>
      <w:r w:rsidRPr="008D0A78">
        <w:rPr>
          <w:rFonts w:ascii="Times New Roman" w:eastAsia="Times New Roman" w:hAnsi="Times New Roman" w:cs="Times New Roman"/>
          <w:b/>
          <w:sz w:val="24"/>
          <w:szCs w:val="24"/>
        </w:rPr>
        <w:t>Gischewski</w:t>
      </w:r>
      <w:proofErr w:type="spellEnd"/>
      <w:r w:rsidR="00375C3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375C35">
        <w:rPr>
          <w:rFonts w:ascii="Times New Roman" w:eastAsia="Times New Roman" w:hAnsi="Times New Roman" w:cs="Times New Roman"/>
          <w:b/>
          <w:sz w:val="24"/>
          <w:szCs w:val="24"/>
        </w:rPr>
        <w:t>mari_demas@hotmail.com)¹</w:t>
      </w:r>
      <w:proofErr w:type="gramEnd"/>
      <w:r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96FC6A" w14:textId="77777777" w:rsidR="001269C8" w:rsidRDefault="001269C8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Mariana Gonçalves de Alencar¹;</w:t>
      </w:r>
    </w:p>
    <w:p w14:paraId="065E4906" w14:textId="0F5541D2" w:rsidR="001269C8" w:rsidRDefault="001269C8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Jaqueline </w:t>
      </w:r>
      <w:r w:rsidR="00832F97">
        <w:rPr>
          <w:rFonts w:ascii="Times New Roman" w:eastAsia="Times New Roman" w:hAnsi="Times New Roman" w:cs="Times New Roman"/>
          <w:sz w:val="24"/>
          <w:szCs w:val="24"/>
        </w:rPr>
        <w:t xml:space="preserve">Silva </w:t>
      </w:r>
      <w:r>
        <w:rPr>
          <w:rFonts w:ascii="Times New Roman" w:eastAsia="Times New Roman" w:hAnsi="Times New Roman" w:cs="Times New Roman"/>
          <w:sz w:val="24"/>
          <w:szCs w:val="24"/>
        </w:rPr>
        <w:t>Gonçalves¹;</w:t>
      </w:r>
    </w:p>
    <w:p w14:paraId="763E74ED" w14:textId="77777777" w:rsidR="00832F97" w:rsidRDefault="00832F97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Fabiana Andrea Moura¹</w:t>
      </w:r>
      <w:r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8E0380" w14:textId="5518A647" w:rsidR="001A2EA5" w:rsidRPr="008D0A78" w:rsidRDefault="001269C8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Elisa Carvalho de Meira².</w:t>
      </w:r>
    </w:p>
    <w:p w14:paraId="3195936A" w14:textId="290ADE91" w:rsidR="001A2EA5" w:rsidRPr="008D0A78" w:rsidRDefault="00832F97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Glaucevane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Silva Guedes¹</w:t>
      </w:r>
      <w:r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4521FF" w14:textId="60C166FC" w:rsidR="001A2EA5" w:rsidRDefault="00375C3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</w:t>
      </w:r>
      <w:r w:rsidR="001A2EA5" w:rsidRPr="008D0A78">
        <w:rPr>
          <w:rFonts w:ascii="Times New Roman" w:eastAsia="Times New Roman" w:hAnsi="Times New Roman" w:cs="Times New Roman"/>
          <w:sz w:val="24"/>
          <w:szCs w:val="24"/>
        </w:rPr>
        <w:t>Universidade Federal de Alagoas – UFAL, Maceió, Alagoas, Brasil.</w:t>
      </w:r>
    </w:p>
    <w:p w14:paraId="7698C216" w14:textId="0491F1B3" w:rsidR="001269C8" w:rsidRDefault="001269C8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²Hospital Universitário Professor Alberto Antunes – HUPAA, Maceió, Alagoas, Brasil.</w:t>
      </w:r>
    </w:p>
    <w:p w14:paraId="41362155" w14:textId="69FF52DA" w:rsidR="001A2EA5" w:rsidRPr="008D0A78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C6F274" w14:textId="0CD05E04" w:rsidR="00AD0E55" w:rsidRPr="002A4094" w:rsidRDefault="00832F97" w:rsidP="002C4C60">
      <w:pPr>
        <w:widowControl w:val="0"/>
        <w:suppressAutoHyphens w:val="0"/>
        <w:jc w:val="both"/>
      </w:pPr>
      <w:r w:rsidRPr="00EA2144">
        <w:rPr>
          <w:b/>
        </w:rPr>
        <w:t>INTRODUÇÃO:</w:t>
      </w:r>
      <w:r>
        <w:t xml:space="preserve"> </w:t>
      </w:r>
      <w:r w:rsidR="00375C35">
        <w:t>A</w:t>
      </w:r>
      <w:r w:rsidR="00AD0E55" w:rsidRPr="00184CBF">
        <w:t xml:space="preserve"> doença inflamatória intestinal</w:t>
      </w:r>
      <w:r w:rsidR="00EB7AA1">
        <w:t xml:space="preserve"> caracteriza-se por </w:t>
      </w:r>
      <w:r w:rsidR="00B82DC9">
        <w:t>acometimento</w:t>
      </w:r>
      <w:r w:rsidR="00EB7AA1">
        <w:t xml:space="preserve"> crônic</w:t>
      </w:r>
      <w:r w:rsidR="00B82DC9">
        <w:t>o</w:t>
      </w:r>
      <w:r w:rsidR="002C4C60">
        <w:t xml:space="preserve"> e </w:t>
      </w:r>
      <w:proofErr w:type="spellStart"/>
      <w:r w:rsidR="002C4C60">
        <w:t>recidivante</w:t>
      </w:r>
      <w:proofErr w:type="spellEnd"/>
      <w:r w:rsidR="002C4C60">
        <w:t xml:space="preserve">. </w:t>
      </w:r>
      <w:r w:rsidR="002A4094">
        <w:t>A</w:t>
      </w:r>
      <w:r w:rsidR="002C4C60">
        <w:t>s formas de apresentação mais comuns são</w:t>
      </w:r>
      <w:r w:rsidR="00AD0E55" w:rsidRPr="00184CBF">
        <w:t xml:space="preserve"> doença de </w:t>
      </w:r>
      <w:proofErr w:type="spellStart"/>
      <w:r w:rsidR="00AD0E55" w:rsidRPr="00184CBF">
        <w:t>Crohn</w:t>
      </w:r>
      <w:proofErr w:type="spellEnd"/>
      <w:r w:rsidR="00AD0E55" w:rsidRPr="00184CBF">
        <w:t xml:space="preserve"> e colite ulcerativa inespecífica</w:t>
      </w:r>
      <w:r w:rsidR="00951310">
        <w:t xml:space="preserve"> (</w:t>
      </w:r>
      <w:r w:rsidR="00951310" w:rsidRPr="00541A94">
        <w:rPr>
          <w:bCs/>
        </w:rPr>
        <w:t>COLOMBEL et al., 2011</w:t>
      </w:r>
      <w:r w:rsidR="00951310">
        <w:rPr>
          <w:bCs/>
        </w:rPr>
        <w:t>)</w:t>
      </w:r>
      <w:r w:rsidR="0046650E">
        <w:t>.</w:t>
      </w:r>
      <w:r w:rsidR="002A4094">
        <w:t xml:space="preserve"> </w:t>
      </w:r>
      <w:r w:rsidR="00AD0E55" w:rsidRPr="00184CBF">
        <w:t xml:space="preserve">Do ponto de vista clínico, </w:t>
      </w:r>
      <w:r w:rsidR="0046650E">
        <w:t>um</w:t>
      </w:r>
      <w:r w:rsidR="00AD0E55" w:rsidRPr="00184CBF">
        <w:t xml:space="preserve"> aspecto relevante é</w:t>
      </w:r>
      <w:r w:rsidR="001C186A">
        <w:t xml:space="preserve"> o</w:t>
      </w:r>
      <w:r w:rsidR="00AD0E55" w:rsidRPr="00184CBF">
        <w:t xml:space="preserve"> estado nutricional</w:t>
      </w:r>
      <w:r w:rsidR="0046650E">
        <w:t>.</w:t>
      </w:r>
      <w:r w:rsidR="00AD0E55" w:rsidRPr="00184CBF">
        <w:t xml:space="preserve"> </w:t>
      </w:r>
      <w:r w:rsidR="0046650E">
        <w:t>A</w:t>
      </w:r>
      <w:r w:rsidR="00AD0E55" w:rsidRPr="00184CBF">
        <w:t xml:space="preserve"> prevalência de desnutrição</w:t>
      </w:r>
      <w:r w:rsidR="00B82DC9">
        <w:t xml:space="preserve"> </w:t>
      </w:r>
      <w:r w:rsidR="00AD0E55" w:rsidRPr="00184CBF">
        <w:t>varia de 20 a 85%</w:t>
      </w:r>
      <w:r w:rsidR="00951310">
        <w:t xml:space="preserve"> </w:t>
      </w:r>
      <w:r w:rsidR="00951310" w:rsidRPr="00541A94">
        <w:rPr>
          <w:bCs/>
        </w:rPr>
        <w:t>(TEIXEIRA-NETO, 2009)</w:t>
      </w:r>
      <w:r w:rsidR="0046650E">
        <w:t xml:space="preserve">, </w:t>
      </w:r>
      <w:r w:rsidR="00E4771F">
        <w:t xml:space="preserve">contudo </w:t>
      </w:r>
      <w:r w:rsidR="0046650E">
        <w:rPr>
          <w:bCs/>
        </w:rPr>
        <w:t>v</w:t>
      </w:r>
      <w:r w:rsidR="0046650E" w:rsidRPr="00541A94">
        <w:rPr>
          <w:bCs/>
        </w:rPr>
        <w:t xml:space="preserve">ale ressaltar o aumento do sobrepeso e obesidade </w:t>
      </w:r>
      <w:r w:rsidR="0046650E">
        <w:rPr>
          <w:bCs/>
        </w:rPr>
        <w:t>nes</w:t>
      </w:r>
      <w:r w:rsidR="00B82DC9">
        <w:rPr>
          <w:bCs/>
        </w:rPr>
        <w:t>t</w:t>
      </w:r>
      <w:r w:rsidR="0046650E">
        <w:rPr>
          <w:bCs/>
        </w:rPr>
        <w:t>a população</w:t>
      </w:r>
      <w:r w:rsidR="00933E61">
        <w:rPr>
          <w:bCs/>
        </w:rPr>
        <w:t xml:space="preserve">, </w:t>
      </w:r>
      <w:r w:rsidR="009F7743">
        <w:rPr>
          <w:bCs/>
        </w:rPr>
        <w:t>o que não é</w:t>
      </w:r>
      <w:r w:rsidR="00933E61">
        <w:rPr>
          <w:bCs/>
        </w:rPr>
        <w:t xml:space="preserve"> sinônimo de inexistência de déficits nutricionais</w:t>
      </w:r>
      <w:r w:rsidR="0046650E" w:rsidRPr="00541A94">
        <w:rPr>
          <w:bCs/>
        </w:rPr>
        <w:t>.</w:t>
      </w:r>
      <w:r w:rsidR="00A44001">
        <w:rPr>
          <w:bCs/>
        </w:rPr>
        <w:t xml:space="preserve"> </w:t>
      </w:r>
      <w:r w:rsidR="00E4771F">
        <w:rPr>
          <w:bCs/>
        </w:rPr>
        <w:t>De forma geral, o</w:t>
      </w:r>
      <w:r w:rsidR="00A44001" w:rsidRPr="00541A94">
        <w:rPr>
          <w:bCs/>
        </w:rPr>
        <w:t xml:space="preserve"> estado nutricional está diretamente relacionado com a gravidade da doença e sua piora pode contribuir para a deterioração do sistema imune</w:t>
      </w:r>
      <w:r w:rsidR="00AE619D">
        <w:rPr>
          <w:bCs/>
        </w:rPr>
        <w:t xml:space="preserve"> </w:t>
      </w:r>
      <w:r w:rsidR="00AE619D" w:rsidRPr="00541A94">
        <w:rPr>
          <w:bCs/>
        </w:rPr>
        <w:t>(</w:t>
      </w:r>
      <w:r w:rsidR="002A4094">
        <w:rPr>
          <w:bCs/>
        </w:rPr>
        <w:t>SANTOS et al., 2015</w:t>
      </w:r>
      <w:r w:rsidR="00AE619D" w:rsidRPr="00541A94">
        <w:rPr>
          <w:bCs/>
        </w:rPr>
        <w:t>)</w:t>
      </w:r>
      <w:r w:rsidR="00B82DC9">
        <w:rPr>
          <w:bCs/>
        </w:rPr>
        <w:t>. C</w:t>
      </w:r>
      <w:r w:rsidR="00933E61">
        <w:rPr>
          <w:bCs/>
        </w:rPr>
        <w:t xml:space="preserve">onhecê-lo </w:t>
      </w:r>
      <w:r w:rsidR="00A44001">
        <w:rPr>
          <w:bCs/>
        </w:rPr>
        <w:t>to</w:t>
      </w:r>
      <w:r w:rsidR="00933E61">
        <w:rPr>
          <w:bCs/>
        </w:rPr>
        <w:t>r</w:t>
      </w:r>
      <w:r w:rsidR="00A44001">
        <w:rPr>
          <w:bCs/>
        </w:rPr>
        <w:t>na-se</w:t>
      </w:r>
      <w:r w:rsidR="00933E61">
        <w:rPr>
          <w:bCs/>
        </w:rPr>
        <w:t xml:space="preserve"> </w:t>
      </w:r>
      <w:r w:rsidR="0046650E" w:rsidRPr="00541A94">
        <w:rPr>
          <w:bCs/>
        </w:rPr>
        <w:t>indispensável, visto que</w:t>
      </w:r>
      <w:r w:rsidR="00933E61">
        <w:rPr>
          <w:bCs/>
        </w:rPr>
        <w:t xml:space="preserve"> </w:t>
      </w:r>
      <w:r w:rsidR="0046650E" w:rsidRPr="00541A94">
        <w:rPr>
          <w:bCs/>
        </w:rPr>
        <w:t>quando</w:t>
      </w:r>
      <w:r w:rsidR="00B82DC9">
        <w:rPr>
          <w:bCs/>
        </w:rPr>
        <w:t xml:space="preserve"> as alterações são</w:t>
      </w:r>
      <w:r w:rsidR="0046650E" w:rsidRPr="00541A94">
        <w:rPr>
          <w:bCs/>
        </w:rPr>
        <w:t xml:space="preserve"> identificadas precocemente, </w:t>
      </w:r>
      <w:r w:rsidR="00B82DC9">
        <w:rPr>
          <w:bCs/>
        </w:rPr>
        <w:t>há</w:t>
      </w:r>
      <w:r w:rsidR="00933E61">
        <w:rPr>
          <w:bCs/>
        </w:rPr>
        <w:t xml:space="preserve"> maiores chances de um tratamento eficaz</w:t>
      </w:r>
      <w:r w:rsidR="0046650E" w:rsidRPr="00541A94">
        <w:rPr>
          <w:bCs/>
        </w:rPr>
        <w:t xml:space="preserve">. A avaliação nutricional deve fazer parte do monitoramento dos pacientes, </w:t>
      </w:r>
      <w:r w:rsidR="00BD1D33">
        <w:rPr>
          <w:bCs/>
        </w:rPr>
        <w:t>contemplando</w:t>
      </w:r>
      <w:r w:rsidR="0046650E" w:rsidRPr="00541A94">
        <w:rPr>
          <w:bCs/>
        </w:rPr>
        <w:t xml:space="preserve"> parâmetros antropométricos, </w:t>
      </w:r>
      <w:r w:rsidR="00BD1D33" w:rsidRPr="00541A94">
        <w:rPr>
          <w:bCs/>
        </w:rPr>
        <w:t>bioquímicos,</w:t>
      </w:r>
      <w:r w:rsidR="00BD1D33">
        <w:rPr>
          <w:bCs/>
        </w:rPr>
        <w:t xml:space="preserve"> </w:t>
      </w:r>
      <w:r w:rsidR="0046650E" w:rsidRPr="00541A94">
        <w:rPr>
          <w:bCs/>
        </w:rPr>
        <w:t xml:space="preserve">história clínica </w:t>
      </w:r>
      <w:r w:rsidR="00E4771F">
        <w:rPr>
          <w:bCs/>
        </w:rPr>
        <w:t>e, mais recentemente, aspectos funcionais</w:t>
      </w:r>
      <w:r w:rsidR="0046650E" w:rsidRPr="00541A94">
        <w:rPr>
          <w:bCs/>
        </w:rPr>
        <w:t>.</w:t>
      </w:r>
      <w:r w:rsidR="00A44001">
        <w:rPr>
          <w:bCs/>
        </w:rPr>
        <w:t xml:space="preserve"> </w:t>
      </w:r>
      <w:r w:rsidRPr="00EA2144">
        <w:rPr>
          <w:b/>
          <w:bCs/>
        </w:rPr>
        <w:t>OBJETIVO:</w:t>
      </w:r>
      <w:r>
        <w:rPr>
          <w:bCs/>
        </w:rPr>
        <w:t xml:space="preserve"> </w:t>
      </w:r>
      <w:r w:rsidR="00E4771F">
        <w:rPr>
          <w:bCs/>
        </w:rPr>
        <w:t>T</w:t>
      </w:r>
      <w:r w:rsidR="00933E61">
        <w:rPr>
          <w:bCs/>
        </w:rPr>
        <w:t>raçar o perfil</w:t>
      </w:r>
      <w:r w:rsidR="0046650E" w:rsidRPr="00424AF8">
        <w:t xml:space="preserve"> nutricional</w:t>
      </w:r>
      <w:r w:rsidR="00E4771F">
        <w:t>/funcional</w:t>
      </w:r>
      <w:r w:rsidR="00A44001">
        <w:t xml:space="preserve"> de pacientes com doença inflamatória intestinal atendidos em um Hospital Escola de Maceió</w:t>
      </w:r>
      <w:r w:rsidR="00BD1D33">
        <w:t xml:space="preserve">, </w:t>
      </w:r>
      <w:r w:rsidR="00A44001">
        <w:t>Alagoas,</w:t>
      </w:r>
      <w:r w:rsidR="0046650E" w:rsidRPr="00424AF8">
        <w:t xml:space="preserve"> </w:t>
      </w:r>
      <w:r w:rsidR="00E4771F">
        <w:t>com base em</w:t>
      </w:r>
      <w:r w:rsidR="0046650E">
        <w:t xml:space="preserve"> parâmetros antropométricos, </w:t>
      </w:r>
      <w:r w:rsidR="0046650E" w:rsidRPr="00424AF8">
        <w:t>bioquímico</w:t>
      </w:r>
      <w:r w:rsidR="0046650E">
        <w:t>s</w:t>
      </w:r>
      <w:r w:rsidR="0004262C">
        <w:t xml:space="preserve"> e funcionais</w:t>
      </w:r>
      <w:r w:rsidR="00A44001">
        <w:t xml:space="preserve">. </w:t>
      </w:r>
      <w:r w:rsidRPr="00EA2144">
        <w:rPr>
          <w:b/>
        </w:rPr>
        <w:t>MATERIAL E MÉTODOS:</w:t>
      </w:r>
      <w:r>
        <w:t xml:space="preserve"> </w:t>
      </w:r>
      <w:r w:rsidR="00E4771F">
        <w:t>P</w:t>
      </w:r>
      <w:r w:rsidR="00AD0E55" w:rsidRPr="00184CBF">
        <w:t>acientes</w:t>
      </w:r>
      <w:r w:rsidR="00E4771F">
        <w:t xml:space="preserve"> de pelo menos 19 anos de idade, de ambos os sexos,</w:t>
      </w:r>
      <w:r w:rsidR="00A44001">
        <w:t xml:space="preserve"> com doença inflamatória intestinal </w:t>
      </w:r>
      <w:r w:rsidR="00AD0E55" w:rsidRPr="00184CBF">
        <w:t xml:space="preserve">acompanhados no Ambulatório de </w:t>
      </w:r>
      <w:proofErr w:type="spellStart"/>
      <w:r w:rsidR="00AD0E55" w:rsidRPr="00184CBF">
        <w:t>Coloproctologia</w:t>
      </w:r>
      <w:proofErr w:type="spellEnd"/>
      <w:r w:rsidR="00AD0E55" w:rsidRPr="00184CBF">
        <w:t xml:space="preserve"> do Hospital Universitário Professor Alberto Antunes</w:t>
      </w:r>
      <w:r w:rsidR="00A44001">
        <w:t>,</w:t>
      </w:r>
      <w:r w:rsidR="00AD0E55" w:rsidRPr="00184CBF">
        <w:t xml:space="preserve"> foram </w:t>
      </w:r>
      <w:r w:rsidR="00E4771F">
        <w:t xml:space="preserve">recrutados/avaliados </w:t>
      </w:r>
      <w:r w:rsidR="0004262C">
        <w:t>no período de setembro/2017 a março/2018.</w:t>
      </w:r>
      <w:r w:rsidR="00AD0E55" w:rsidRPr="00184CBF">
        <w:t xml:space="preserve"> </w:t>
      </w:r>
      <w:r w:rsidR="00105304">
        <w:t>A</w:t>
      </w:r>
      <w:r w:rsidR="00AD0E55" w:rsidRPr="00184CBF">
        <w:t xml:space="preserve"> avaliação antropométrica</w:t>
      </w:r>
      <w:r w:rsidR="00105304">
        <w:t xml:space="preserve"> contemplou medidas de </w:t>
      </w:r>
      <w:r w:rsidR="00933E61">
        <w:t>peso, altura, índice de massa corporal, circunferência braquial, prega cutânea tricipital e circunferência muscular do braço</w:t>
      </w:r>
      <w:r w:rsidR="00105304">
        <w:t xml:space="preserve">. </w:t>
      </w:r>
      <w:r w:rsidR="00E4771F">
        <w:t xml:space="preserve">Na </w:t>
      </w:r>
      <w:r w:rsidR="00105304">
        <w:t>avaliação</w:t>
      </w:r>
      <w:r w:rsidR="00AD0E55" w:rsidRPr="00184CBF">
        <w:t xml:space="preserve"> bioquímica</w:t>
      </w:r>
      <w:r w:rsidR="00105304">
        <w:t xml:space="preserve"> foram analisados níveis séricos de</w:t>
      </w:r>
      <w:r w:rsidR="00933E61">
        <w:t xml:space="preserve"> hemoglobina, hematócrito, volume corpuscular médio, </w:t>
      </w:r>
      <w:r w:rsidR="00B82DC9">
        <w:t>amplitude de distribuição dos glóbulos vermelhos, linfócitos, leucócitos, proteína C reativa, albumina, ferritina, ferro, cálcio, cálcio iônico, magnésio, vitaminas B9, B12 e D</w:t>
      </w:r>
      <w:r w:rsidR="00105304">
        <w:t>.</w:t>
      </w:r>
      <w:r w:rsidR="00A44001">
        <w:t xml:space="preserve"> </w:t>
      </w:r>
      <w:r w:rsidR="0004262C">
        <w:t>A</w:t>
      </w:r>
      <w:r w:rsidR="00105304">
        <w:t xml:space="preserve"> avaliação </w:t>
      </w:r>
      <w:r w:rsidR="00AD0E55" w:rsidRPr="00184CBF">
        <w:t>funcional</w:t>
      </w:r>
      <w:r w:rsidR="00B82DC9">
        <w:t xml:space="preserve"> </w:t>
      </w:r>
      <w:r w:rsidR="00105304">
        <w:t xml:space="preserve">foi realizada através da </w:t>
      </w:r>
      <w:r w:rsidR="00B82DC9">
        <w:t>força de preensão palmar</w:t>
      </w:r>
      <w:r w:rsidR="00AD0E55" w:rsidRPr="00184CBF">
        <w:t>.</w:t>
      </w:r>
      <w:r w:rsidR="00F734ED" w:rsidRPr="00184CBF">
        <w:t xml:space="preserve"> O projeto foi aprovado pelo Comitê de Ética em Pesquisa da Universidade Federal de Alagoas </w:t>
      </w:r>
      <w:r w:rsidR="00441606">
        <w:t>(</w:t>
      </w:r>
      <w:r w:rsidR="00F734ED" w:rsidRPr="00184CBF">
        <w:t>71955317.5.0000.5013</w:t>
      </w:r>
      <w:r w:rsidR="00441606">
        <w:t>)</w:t>
      </w:r>
      <w:r w:rsidR="00F734ED" w:rsidRPr="00184CBF">
        <w:t>.</w:t>
      </w:r>
      <w:r w:rsidR="009F7743">
        <w:t xml:space="preserve"> Os dados foram tabulados e analisados no </w:t>
      </w:r>
      <w:r w:rsidR="009F7743" w:rsidRPr="00105304">
        <w:rPr>
          <w:i/>
        </w:rPr>
        <w:t>software Microsoft</w:t>
      </w:r>
      <w:r w:rsidR="00AE619D" w:rsidRPr="00AE619D">
        <w:rPr>
          <w:rStyle w:val="st"/>
          <w:vertAlign w:val="superscript"/>
        </w:rPr>
        <w:t>®</w:t>
      </w:r>
      <w:r w:rsidR="009F7743" w:rsidRPr="00105304">
        <w:rPr>
          <w:i/>
        </w:rPr>
        <w:t xml:space="preserve"> </w:t>
      </w:r>
      <w:r w:rsidR="00105304" w:rsidRPr="00105304">
        <w:rPr>
          <w:i/>
        </w:rPr>
        <w:t xml:space="preserve">Office </w:t>
      </w:r>
      <w:r w:rsidR="009F7743" w:rsidRPr="00105304">
        <w:rPr>
          <w:i/>
        </w:rPr>
        <w:t>Excel</w:t>
      </w:r>
      <w:r w:rsidR="001464FF" w:rsidRPr="001464FF">
        <w:t>, versão</w:t>
      </w:r>
      <w:r w:rsidR="001464FF">
        <w:rPr>
          <w:i/>
        </w:rPr>
        <w:t xml:space="preserve"> Office </w:t>
      </w:r>
      <w:r w:rsidR="001464FF" w:rsidRPr="001464FF">
        <w:t>365</w:t>
      </w:r>
      <w:r w:rsidR="009F7743">
        <w:t>.</w:t>
      </w:r>
      <w:r w:rsidR="00AD0E55" w:rsidRPr="00184CBF">
        <w:t xml:space="preserve"> </w:t>
      </w:r>
      <w:r w:rsidRPr="00EA2144">
        <w:rPr>
          <w:b/>
        </w:rPr>
        <w:lastRenderedPageBreak/>
        <w:t>RESULTADOS:</w:t>
      </w:r>
      <w:r>
        <w:t xml:space="preserve"> </w:t>
      </w:r>
      <w:r w:rsidR="008259C4" w:rsidRPr="00184CBF">
        <w:t xml:space="preserve">Foram </w:t>
      </w:r>
      <w:r w:rsidR="00441606">
        <w:t xml:space="preserve">recrutados 68 e incluídos </w:t>
      </w:r>
      <w:r w:rsidR="008259C4" w:rsidRPr="00184CBF">
        <w:t xml:space="preserve">36 </w:t>
      </w:r>
      <w:r w:rsidR="00441606">
        <w:t>pacientes</w:t>
      </w:r>
      <w:r w:rsidR="008259C4" w:rsidRPr="00184CBF">
        <w:t xml:space="preserve">, sendo 63,88% do sexo feminino. Foi encontrada maior prevalência de indivíduos </w:t>
      </w:r>
      <w:proofErr w:type="spellStart"/>
      <w:r w:rsidR="008259C4" w:rsidRPr="00184CBF">
        <w:t>eutróficos</w:t>
      </w:r>
      <w:proofErr w:type="spellEnd"/>
      <w:r w:rsidR="008259C4" w:rsidRPr="00184CBF">
        <w:t>, seguidos por aqueles com sobrepeso</w:t>
      </w:r>
      <w:r w:rsidR="009F7743">
        <w:t>, para todos os parâmetros antropométricos analisados</w:t>
      </w:r>
      <w:r w:rsidR="008259C4" w:rsidRPr="00184CBF">
        <w:t>.</w:t>
      </w:r>
      <w:r w:rsidR="00F734ED" w:rsidRPr="00184CBF">
        <w:t xml:space="preserve"> </w:t>
      </w:r>
      <w:r w:rsidR="00F734ED" w:rsidRPr="00184CBF">
        <w:rPr>
          <w:bCs/>
        </w:rPr>
        <w:t xml:space="preserve">No que diz respeito à avaliação bioquímica, </w:t>
      </w:r>
      <w:r w:rsidR="00B82DC9">
        <w:rPr>
          <w:bCs/>
        </w:rPr>
        <w:t>a a</w:t>
      </w:r>
      <w:r w:rsidR="00F734ED" w:rsidRPr="00184CBF">
        <w:rPr>
          <w:bCs/>
        </w:rPr>
        <w:t>nemia foi um achado em quase 20% dos indivíduos</w:t>
      </w:r>
      <w:r w:rsidR="009F7743">
        <w:rPr>
          <w:bCs/>
        </w:rPr>
        <w:t xml:space="preserve">, </w:t>
      </w:r>
      <w:r w:rsidR="001464FF">
        <w:rPr>
          <w:bCs/>
        </w:rPr>
        <w:t xml:space="preserve">A </w:t>
      </w:r>
      <w:r w:rsidR="00441606" w:rsidRPr="00441606">
        <w:rPr>
          <w:bCs/>
        </w:rPr>
        <w:t>proteína C reativa</w:t>
      </w:r>
      <w:r w:rsidR="001464FF">
        <w:rPr>
          <w:bCs/>
        </w:rPr>
        <w:t xml:space="preserve"> foi encontrada com valores elevados,</w:t>
      </w:r>
      <w:r w:rsidR="001464FF" w:rsidRPr="00D43EF3">
        <w:rPr>
          <w:bCs/>
        </w:rPr>
        <w:t xml:space="preserve"> </w:t>
      </w:r>
      <w:r w:rsidR="001464FF">
        <w:rPr>
          <w:bCs/>
        </w:rPr>
        <w:t xml:space="preserve">indicando processo inflamatório, em 27,27% da amostra </w:t>
      </w:r>
      <w:r w:rsidR="00441606">
        <w:rPr>
          <w:bCs/>
        </w:rPr>
        <w:t>(</w:t>
      </w:r>
      <w:r w:rsidR="00441606" w:rsidRPr="00495B20">
        <w:rPr>
          <w:bCs/>
        </w:rPr>
        <w:t>n=</w:t>
      </w:r>
      <w:r w:rsidR="00495B20" w:rsidRPr="00495B20">
        <w:rPr>
          <w:bCs/>
        </w:rPr>
        <w:t>33</w:t>
      </w:r>
      <w:r w:rsidR="00441606">
        <w:rPr>
          <w:bCs/>
        </w:rPr>
        <w:t>)</w:t>
      </w:r>
      <w:r w:rsidR="001464FF">
        <w:rPr>
          <w:bCs/>
        </w:rPr>
        <w:t xml:space="preserve">. Observou-se </w:t>
      </w:r>
      <w:proofErr w:type="spellStart"/>
      <w:r w:rsidR="001464FF">
        <w:rPr>
          <w:bCs/>
        </w:rPr>
        <w:t>hipoferremia</w:t>
      </w:r>
      <w:proofErr w:type="spellEnd"/>
      <w:r w:rsidR="001464FF">
        <w:rPr>
          <w:bCs/>
        </w:rPr>
        <w:t xml:space="preserve"> para 35,29% dos indivíduos com análise</w:t>
      </w:r>
      <w:r w:rsidR="00AE619D">
        <w:rPr>
          <w:bCs/>
        </w:rPr>
        <w:t xml:space="preserve"> sérica de ferro</w:t>
      </w:r>
      <w:r w:rsidR="001464FF">
        <w:rPr>
          <w:bCs/>
        </w:rPr>
        <w:t xml:space="preserve">. O cálcio iônico, forma fisiologicamente ativa, </w:t>
      </w:r>
      <w:r w:rsidR="00441606">
        <w:rPr>
          <w:bCs/>
        </w:rPr>
        <w:t>estava baixo</w:t>
      </w:r>
      <w:r w:rsidR="00513C59">
        <w:rPr>
          <w:bCs/>
        </w:rPr>
        <w:t xml:space="preserve"> em</w:t>
      </w:r>
      <w:r w:rsidR="001464FF">
        <w:rPr>
          <w:bCs/>
        </w:rPr>
        <w:t xml:space="preserve"> 26,47% do</w:t>
      </w:r>
      <w:r w:rsidR="00513C59">
        <w:rPr>
          <w:bCs/>
        </w:rPr>
        <w:t>s</w:t>
      </w:r>
      <w:r w:rsidR="001464FF">
        <w:rPr>
          <w:bCs/>
        </w:rPr>
        <w:t xml:space="preserve"> exames realizados. A hipovitaminose D foi um achado para 50% da amostra.</w:t>
      </w:r>
      <w:r w:rsidR="009F7743">
        <w:rPr>
          <w:bCs/>
        </w:rPr>
        <w:t xml:space="preserve"> </w:t>
      </w:r>
      <w:r w:rsidR="00513C59">
        <w:rPr>
          <w:bCs/>
        </w:rPr>
        <w:t xml:space="preserve">Quando analisada a força de preensão palmar, </w:t>
      </w:r>
      <w:r w:rsidR="003C6FF0">
        <w:rPr>
          <w:bCs/>
        </w:rPr>
        <w:t xml:space="preserve">36% dos indivíduos apresentaram comprometimento da capacidade funcional. </w:t>
      </w:r>
      <w:r w:rsidRPr="00EA2144">
        <w:rPr>
          <w:b/>
          <w:bCs/>
        </w:rPr>
        <w:t>CONCLUSÃO:</w:t>
      </w:r>
      <w:r>
        <w:rPr>
          <w:bCs/>
        </w:rPr>
        <w:t xml:space="preserve"> </w:t>
      </w:r>
      <w:r w:rsidR="00441606">
        <w:rPr>
          <w:bCs/>
        </w:rPr>
        <w:t>Este</w:t>
      </w:r>
      <w:r w:rsidR="00AE619D">
        <w:rPr>
          <w:bCs/>
        </w:rPr>
        <w:t xml:space="preserve"> estudo corrobora com a importância de um acompanhamento criterioso </w:t>
      </w:r>
      <w:r w:rsidR="00441606">
        <w:rPr>
          <w:bCs/>
        </w:rPr>
        <w:t xml:space="preserve">e minuciosos </w:t>
      </w:r>
      <w:r w:rsidR="00AE619D">
        <w:rPr>
          <w:bCs/>
        </w:rPr>
        <w:t>do estado nutricional</w:t>
      </w:r>
      <w:r w:rsidR="00441606">
        <w:rPr>
          <w:bCs/>
        </w:rPr>
        <w:t>/funcional</w:t>
      </w:r>
      <w:r w:rsidR="00AE619D">
        <w:rPr>
          <w:bCs/>
        </w:rPr>
        <w:t xml:space="preserve"> de</w:t>
      </w:r>
      <w:r w:rsidR="00441606">
        <w:rPr>
          <w:bCs/>
        </w:rPr>
        <w:t>stes</w:t>
      </w:r>
      <w:r w:rsidR="00AE619D">
        <w:rPr>
          <w:bCs/>
        </w:rPr>
        <w:t xml:space="preserve"> pacientes, mostrando que mesmo em um grupo onde há predominantemente indivíduos </w:t>
      </w:r>
      <w:proofErr w:type="spellStart"/>
      <w:r w:rsidR="00AE619D">
        <w:rPr>
          <w:bCs/>
        </w:rPr>
        <w:t>eutróficos</w:t>
      </w:r>
      <w:proofErr w:type="spellEnd"/>
      <w:r w:rsidR="00AE619D">
        <w:rPr>
          <w:bCs/>
        </w:rPr>
        <w:t xml:space="preserve"> e com sobrepeso, são encontrados importantes </w:t>
      </w:r>
      <w:r w:rsidR="002C4C60">
        <w:rPr>
          <w:bCs/>
        </w:rPr>
        <w:t>déficits</w:t>
      </w:r>
      <w:r w:rsidR="00441606">
        <w:rPr>
          <w:bCs/>
        </w:rPr>
        <w:t xml:space="preserve"> bioquímicos e comprometimento funcional</w:t>
      </w:r>
      <w:r w:rsidR="00AE619D">
        <w:rPr>
          <w:bCs/>
        </w:rPr>
        <w:t>.</w:t>
      </w:r>
    </w:p>
    <w:p w14:paraId="2427B75C" w14:textId="77777777" w:rsidR="002C4C60" w:rsidRDefault="002C4C60" w:rsidP="002C4C60">
      <w:pPr>
        <w:pStyle w:val="Corpodetexto2"/>
        <w:spacing w:line="240" w:lineRule="auto"/>
        <w:jc w:val="both"/>
        <w:rPr>
          <w:b/>
          <w:bCs/>
        </w:rPr>
      </w:pPr>
    </w:p>
    <w:p w14:paraId="20575BA7" w14:textId="465353D7" w:rsidR="001D7DA7" w:rsidRDefault="00AD0E55" w:rsidP="002C4C60">
      <w:pPr>
        <w:pStyle w:val="Corpodetexto2"/>
        <w:spacing w:line="240" w:lineRule="auto"/>
        <w:jc w:val="both"/>
      </w:pPr>
      <w:r w:rsidRPr="00DD27CE">
        <w:rPr>
          <w:b/>
          <w:bCs/>
        </w:rPr>
        <w:t>Palavras-chave:</w:t>
      </w:r>
      <w:r>
        <w:rPr>
          <w:b/>
          <w:bCs/>
        </w:rPr>
        <w:t xml:space="preserve"> </w:t>
      </w:r>
      <w:r w:rsidRPr="00DD27CE">
        <w:t>Doença inflamatória intestinal</w:t>
      </w:r>
      <w:r w:rsidR="00FA2DAF">
        <w:t>,</w:t>
      </w:r>
      <w:r w:rsidRPr="00DD27CE">
        <w:t xml:space="preserve"> Estado nutricional</w:t>
      </w:r>
      <w:r w:rsidR="00FA2DAF">
        <w:t>,</w:t>
      </w:r>
      <w:r w:rsidR="00B82DC9">
        <w:t xml:space="preserve"> Biomarcadores</w:t>
      </w:r>
      <w:r w:rsidR="00184CBF">
        <w:t>.</w:t>
      </w:r>
    </w:p>
    <w:p w14:paraId="37577F1A" w14:textId="77777777" w:rsidR="00FB1ABD" w:rsidRDefault="00FB1ABD" w:rsidP="002C4C60">
      <w:pPr>
        <w:suppressAutoHyphens w:val="0"/>
        <w:jc w:val="both"/>
      </w:pPr>
    </w:p>
    <w:p w14:paraId="37FD4A37" w14:textId="53531BFB" w:rsidR="00FB1ABD" w:rsidRPr="00EA2144" w:rsidRDefault="00DA0C62" w:rsidP="002C4C60">
      <w:pPr>
        <w:suppressAutoHyphens w:val="0"/>
        <w:jc w:val="both"/>
        <w:rPr>
          <w:b/>
        </w:rPr>
      </w:pPr>
      <w:r w:rsidRPr="00EA2144">
        <w:rPr>
          <w:b/>
        </w:rPr>
        <w:t>REFERÊNCIAS</w:t>
      </w:r>
    </w:p>
    <w:p w14:paraId="22E448AF" w14:textId="77777777" w:rsidR="002C4C60" w:rsidRDefault="002C4C60" w:rsidP="002C4C60">
      <w:pPr>
        <w:suppressAutoHyphens w:val="0"/>
        <w:jc w:val="both"/>
      </w:pPr>
    </w:p>
    <w:p w14:paraId="06D4AACA" w14:textId="32B3D4F3" w:rsidR="00AE619D" w:rsidRDefault="00AE619D" w:rsidP="00FA2DAF">
      <w:pPr>
        <w:suppressAutoHyphens w:val="0"/>
      </w:pPr>
      <w:bookmarkStart w:id="0" w:name="_GoBack"/>
      <w:r>
        <w:t xml:space="preserve">COLOMBEL, J. F. et al.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mucosal</w:t>
      </w:r>
      <w:proofErr w:type="spellEnd"/>
      <w:r>
        <w:t xml:space="preserve">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infliximab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in </w:t>
      </w:r>
      <w:proofErr w:type="spellStart"/>
      <w:r>
        <w:t>ulcerative</w:t>
      </w:r>
      <w:proofErr w:type="spellEnd"/>
      <w:r>
        <w:t xml:space="preserve"> </w:t>
      </w:r>
      <w:proofErr w:type="spellStart"/>
      <w:r>
        <w:t>colitis</w:t>
      </w:r>
      <w:proofErr w:type="spellEnd"/>
      <w:r>
        <w:t xml:space="preserve">. </w:t>
      </w:r>
      <w:proofErr w:type="spellStart"/>
      <w:r>
        <w:rPr>
          <w:b/>
          <w:bCs/>
        </w:rPr>
        <w:t>Gastroenterology</w:t>
      </w:r>
      <w:proofErr w:type="spellEnd"/>
      <w:r>
        <w:t>, v. 141, n. 4, p. 1194-1201, 2011.</w:t>
      </w:r>
    </w:p>
    <w:p w14:paraId="1A8689F5" w14:textId="77777777" w:rsidR="00FB1ABD" w:rsidRDefault="00FB1ABD" w:rsidP="00FA2DAF">
      <w:pPr>
        <w:pStyle w:val="Corpodetexto2"/>
        <w:spacing w:line="240" w:lineRule="auto"/>
        <w:rPr>
          <w:bCs/>
        </w:rPr>
      </w:pPr>
    </w:p>
    <w:p w14:paraId="14748F21" w14:textId="7D552114" w:rsidR="00FB1ABD" w:rsidRDefault="00FB1ABD" w:rsidP="00FA2DAF">
      <w:pPr>
        <w:pStyle w:val="Corpodetexto2"/>
        <w:spacing w:line="240" w:lineRule="auto"/>
        <w:rPr>
          <w:bCs/>
        </w:rPr>
      </w:pPr>
      <w:r w:rsidRPr="00FB1ABD">
        <w:rPr>
          <w:bCs/>
        </w:rPr>
        <w:t xml:space="preserve">TEIXEIRA NETO, F.; GOMES, C.H.R. Doença inflamatória intestinal. In: Teixeira Neto, F, (Org.). </w:t>
      </w:r>
      <w:r w:rsidRPr="00FB1ABD">
        <w:rPr>
          <w:b/>
          <w:bCs/>
        </w:rPr>
        <w:t>Nutrição Clínica.</w:t>
      </w:r>
      <w:r w:rsidRPr="00FB1ABD">
        <w:rPr>
          <w:bCs/>
        </w:rPr>
        <w:t xml:space="preserve"> Rio de Janeiro: Editora Guanabara Koogan, 2009. p. 360-371.</w:t>
      </w:r>
    </w:p>
    <w:p w14:paraId="442971D9" w14:textId="59330C92" w:rsidR="00FB1ABD" w:rsidRDefault="00FB1ABD" w:rsidP="00FA2DAF">
      <w:pPr>
        <w:pStyle w:val="Corpodetexto2"/>
        <w:spacing w:line="240" w:lineRule="auto"/>
        <w:rPr>
          <w:bCs/>
        </w:rPr>
      </w:pPr>
    </w:p>
    <w:p w14:paraId="20842E91" w14:textId="2D11D21A" w:rsidR="00FB1ABD" w:rsidRPr="002C4C60" w:rsidRDefault="002A4094" w:rsidP="00FA2DAF">
      <w:pPr>
        <w:suppressAutoHyphens w:val="0"/>
      </w:pPr>
      <w:r w:rsidRPr="002A4094">
        <w:t>SANTOS, L</w:t>
      </w:r>
      <w:r>
        <w:t>.</w:t>
      </w:r>
      <w:r w:rsidRPr="002A4094">
        <w:t xml:space="preserve"> A</w:t>
      </w:r>
      <w:r>
        <w:t>.</w:t>
      </w:r>
      <w:r w:rsidRPr="002A4094">
        <w:t xml:space="preserve"> A</w:t>
      </w:r>
      <w:r>
        <w:t>.</w:t>
      </w:r>
      <w:r w:rsidRPr="002A4094">
        <w:t xml:space="preserve"> et al. Terapia nutricional nas doenças inflamatórias intestinais: artigo de revisão. </w:t>
      </w:r>
      <w:proofErr w:type="spellStart"/>
      <w:r w:rsidRPr="002A4094">
        <w:rPr>
          <w:b/>
          <w:bCs/>
        </w:rPr>
        <w:t>Nutrire</w:t>
      </w:r>
      <w:proofErr w:type="spellEnd"/>
      <w:r w:rsidRPr="002A4094">
        <w:t>, v. 40, n. 3, p. 383-396, 2015.</w:t>
      </w:r>
      <w:bookmarkEnd w:id="0"/>
    </w:p>
    <w:sectPr w:rsidR="00FB1ABD" w:rsidRPr="002C4C60">
      <w:footerReference w:type="default" r:id="rId8"/>
      <w:pgSz w:w="12240" w:h="15840"/>
      <w:pgMar w:top="993" w:right="1701" w:bottom="1417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4F11C" w14:textId="77777777" w:rsidR="00352798" w:rsidRDefault="00352798">
      <w:r>
        <w:separator/>
      </w:r>
    </w:p>
  </w:endnote>
  <w:endnote w:type="continuationSeparator" w:id="0">
    <w:p w14:paraId="02B1BFBB" w14:textId="77777777" w:rsidR="00352798" w:rsidRDefault="0035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029F" w14:textId="2A15674C" w:rsidR="000447AB" w:rsidRDefault="000447AB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4" behindDoc="0" locked="0" layoutInCell="1" allowOverlap="1" wp14:anchorId="574E1C81" wp14:editId="6AA873B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23190" cy="145415"/>
              <wp:effectExtent l="0" t="0" r="0" b="0"/>
              <wp:wrapSquare wrapText="largest"/>
              <wp:docPr id="1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B6C91DE" w14:textId="7C7CF5B4" w:rsidR="000447AB" w:rsidRDefault="000447A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3270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E1C8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1.5pt;margin-top:.05pt;width:9.7pt;height:11.45pt;z-index:2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5B6C91DE" w14:textId="7C7CF5B4" w:rsidR="000447AB" w:rsidRDefault="000447A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3270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900A5" w14:textId="77777777" w:rsidR="00352798" w:rsidRDefault="00352798">
      <w:r>
        <w:separator/>
      </w:r>
    </w:p>
  </w:footnote>
  <w:footnote w:type="continuationSeparator" w:id="0">
    <w:p w14:paraId="1E336415" w14:textId="77777777" w:rsidR="00352798" w:rsidRDefault="00352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FE6"/>
    <w:multiLevelType w:val="multilevel"/>
    <w:tmpl w:val="7FF8E6E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655AF6"/>
    <w:multiLevelType w:val="hybridMultilevel"/>
    <w:tmpl w:val="CE86A5F0"/>
    <w:lvl w:ilvl="0" w:tplc="C57823A4">
      <w:start w:val="1"/>
      <w:numFmt w:val="decimal"/>
      <w:lvlText w:val="%1-"/>
      <w:lvlJc w:val="left"/>
      <w:pPr>
        <w:ind w:left="786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2E13"/>
    <w:multiLevelType w:val="hybridMultilevel"/>
    <w:tmpl w:val="B05405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C0288B"/>
    <w:multiLevelType w:val="multilevel"/>
    <w:tmpl w:val="50D8D216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DA7"/>
    <w:rsid w:val="0002217F"/>
    <w:rsid w:val="0004262C"/>
    <w:rsid w:val="000447AB"/>
    <w:rsid w:val="000660D4"/>
    <w:rsid w:val="00082A3E"/>
    <w:rsid w:val="000C13B6"/>
    <w:rsid w:val="000E057E"/>
    <w:rsid w:val="000F349B"/>
    <w:rsid w:val="00105304"/>
    <w:rsid w:val="00113EEA"/>
    <w:rsid w:val="001177BC"/>
    <w:rsid w:val="001269C8"/>
    <w:rsid w:val="001464FF"/>
    <w:rsid w:val="001508A2"/>
    <w:rsid w:val="00184CBF"/>
    <w:rsid w:val="001A2EA5"/>
    <w:rsid w:val="001C186A"/>
    <w:rsid w:val="001C57C6"/>
    <w:rsid w:val="001D7DA7"/>
    <w:rsid w:val="001E0A7E"/>
    <w:rsid w:val="001F660E"/>
    <w:rsid w:val="00202B62"/>
    <w:rsid w:val="00205ED6"/>
    <w:rsid w:val="0022325E"/>
    <w:rsid w:val="0028188F"/>
    <w:rsid w:val="00295D3E"/>
    <w:rsid w:val="002A4094"/>
    <w:rsid w:val="002B338E"/>
    <w:rsid w:val="002C4C60"/>
    <w:rsid w:val="002E2E55"/>
    <w:rsid w:val="002E65EA"/>
    <w:rsid w:val="003228F7"/>
    <w:rsid w:val="003268A3"/>
    <w:rsid w:val="00326C5F"/>
    <w:rsid w:val="003357AB"/>
    <w:rsid w:val="003479A1"/>
    <w:rsid w:val="00351BE1"/>
    <w:rsid w:val="00352798"/>
    <w:rsid w:val="00375C35"/>
    <w:rsid w:val="003A0B4F"/>
    <w:rsid w:val="003C6FF0"/>
    <w:rsid w:val="003F05E7"/>
    <w:rsid w:val="00417EC7"/>
    <w:rsid w:val="00441606"/>
    <w:rsid w:val="00451F78"/>
    <w:rsid w:val="0046650E"/>
    <w:rsid w:val="00495B20"/>
    <w:rsid w:val="004967E5"/>
    <w:rsid w:val="004A3E4A"/>
    <w:rsid w:val="004A4788"/>
    <w:rsid w:val="004E1C59"/>
    <w:rsid w:val="004E6613"/>
    <w:rsid w:val="00513C59"/>
    <w:rsid w:val="00514FC9"/>
    <w:rsid w:val="00522CAF"/>
    <w:rsid w:val="0055465E"/>
    <w:rsid w:val="00575897"/>
    <w:rsid w:val="0059373F"/>
    <w:rsid w:val="005E1291"/>
    <w:rsid w:val="00634E2E"/>
    <w:rsid w:val="0065028A"/>
    <w:rsid w:val="0068582C"/>
    <w:rsid w:val="006A1C08"/>
    <w:rsid w:val="006A3736"/>
    <w:rsid w:val="007260E4"/>
    <w:rsid w:val="00773FAF"/>
    <w:rsid w:val="0077765A"/>
    <w:rsid w:val="00795399"/>
    <w:rsid w:val="007B0237"/>
    <w:rsid w:val="008259C4"/>
    <w:rsid w:val="00832F97"/>
    <w:rsid w:val="0086021D"/>
    <w:rsid w:val="00867C30"/>
    <w:rsid w:val="008B5A66"/>
    <w:rsid w:val="008C1852"/>
    <w:rsid w:val="008E4CE1"/>
    <w:rsid w:val="008F50E9"/>
    <w:rsid w:val="00900294"/>
    <w:rsid w:val="00915DCC"/>
    <w:rsid w:val="00921286"/>
    <w:rsid w:val="0092795C"/>
    <w:rsid w:val="00933E61"/>
    <w:rsid w:val="009358B9"/>
    <w:rsid w:val="00950BFC"/>
    <w:rsid w:val="00951310"/>
    <w:rsid w:val="0096333D"/>
    <w:rsid w:val="00966F30"/>
    <w:rsid w:val="009A77CF"/>
    <w:rsid w:val="009B192E"/>
    <w:rsid w:val="009D53AB"/>
    <w:rsid w:val="009F7743"/>
    <w:rsid w:val="00A12160"/>
    <w:rsid w:val="00A20E6D"/>
    <w:rsid w:val="00A400C0"/>
    <w:rsid w:val="00A44001"/>
    <w:rsid w:val="00A60E75"/>
    <w:rsid w:val="00A85CB6"/>
    <w:rsid w:val="00AB0B65"/>
    <w:rsid w:val="00AD0E55"/>
    <w:rsid w:val="00AE1998"/>
    <w:rsid w:val="00AE619D"/>
    <w:rsid w:val="00AF6E76"/>
    <w:rsid w:val="00B01F2A"/>
    <w:rsid w:val="00B136B0"/>
    <w:rsid w:val="00B3054A"/>
    <w:rsid w:val="00B374A0"/>
    <w:rsid w:val="00B82DC9"/>
    <w:rsid w:val="00BC5010"/>
    <w:rsid w:val="00BD1D33"/>
    <w:rsid w:val="00BD7EFF"/>
    <w:rsid w:val="00BF3EE7"/>
    <w:rsid w:val="00CA600E"/>
    <w:rsid w:val="00CD39E9"/>
    <w:rsid w:val="00CE14C9"/>
    <w:rsid w:val="00D004F4"/>
    <w:rsid w:val="00D16DC5"/>
    <w:rsid w:val="00D213F2"/>
    <w:rsid w:val="00D2188D"/>
    <w:rsid w:val="00D24EE1"/>
    <w:rsid w:val="00D43EF3"/>
    <w:rsid w:val="00D606B3"/>
    <w:rsid w:val="00D649AF"/>
    <w:rsid w:val="00D702F2"/>
    <w:rsid w:val="00D73680"/>
    <w:rsid w:val="00D73A4A"/>
    <w:rsid w:val="00D76037"/>
    <w:rsid w:val="00DA0C62"/>
    <w:rsid w:val="00DC5ACB"/>
    <w:rsid w:val="00DD5833"/>
    <w:rsid w:val="00E23A60"/>
    <w:rsid w:val="00E3270C"/>
    <w:rsid w:val="00E45EA1"/>
    <w:rsid w:val="00E4771F"/>
    <w:rsid w:val="00E80711"/>
    <w:rsid w:val="00E81C11"/>
    <w:rsid w:val="00EA2144"/>
    <w:rsid w:val="00EA3D91"/>
    <w:rsid w:val="00EB7AA1"/>
    <w:rsid w:val="00EF257F"/>
    <w:rsid w:val="00EF3DA2"/>
    <w:rsid w:val="00F04152"/>
    <w:rsid w:val="00F734ED"/>
    <w:rsid w:val="00F95422"/>
    <w:rsid w:val="00FA2DAF"/>
    <w:rsid w:val="00FB1ABD"/>
    <w:rsid w:val="00FB245A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BD55"/>
  <w15:docId w15:val="{0FF49437-D608-4813-B005-4C7F4D8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029B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15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C4029B"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Ttulo3">
    <w:name w:val="heading 3"/>
    <w:basedOn w:val="Normal"/>
    <w:next w:val="Normal"/>
    <w:qFormat/>
    <w:rsid w:val="00C4029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4029B"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C4029B"/>
    <w:pPr>
      <w:keepNext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rsid w:val="00C4029B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C4029B"/>
    <w:rPr>
      <w:rFonts w:ascii="Arial" w:hAnsi="Arial" w:cs="Arial"/>
      <w:color w:val="0000CC"/>
      <w:u w:val="single"/>
    </w:rPr>
  </w:style>
  <w:style w:type="character" w:styleId="Refdenotaderodap">
    <w:name w:val="footnote reference"/>
    <w:basedOn w:val="Fontepargpadro"/>
    <w:semiHidden/>
    <w:qFormat/>
    <w:rsid w:val="00C4029B"/>
    <w:rPr>
      <w:rFonts w:ascii="Times New Roman" w:hAnsi="Times New Roman" w:cs="Times New Roman"/>
      <w:vertAlign w:val="superscript"/>
    </w:rPr>
  </w:style>
  <w:style w:type="character" w:styleId="Nmerodepgina">
    <w:name w:val="page number"/>
    <w:basedOn w:val="Fontepargpadro"/>
    <w:qFormat/>
    <w:rsid w:val="008218D2"/>
  </w:style>
  <w:style w:type="character" w:customStyle="1" w:styleId="TextodebaloChar">
    <w:name w:val="Texto de balão Char"/>
    <w:basedOn w:val="Fontepargpadro"/>
    <w:link w:val="Textodebalo"/>
    <w:qFormat/>
    <w:rsid w:val="00334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53105"/>
  </w:style>
  <w:style w:type="character" w:customStyle="1" w:styleId="Ttulo1Char">
    <w:name w:val="Título 1 Char"/>
    <w:basedOn w:val="Fontepargpadro"/>
    <w:link w:val="Ttulo1"/>
    <w:qFormat/>
    <w:rsid w:val="00E153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Black" w:hAnsi="Arial Black" w:cs="Times New Roman"/>
      <w:b/>
      <w:color w:val="00000A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C4029B"/>
    <w:pPr>
      <w:spacing w:line="48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Indent">
    <w:name w:val="Text Body Indent"/>
    <w:basedOn w:val="Normal"/>
    <w:rsid w:val="00C4029B"/>
    <w:pPr>
      <w:ind w:firstLine="708"/>
      <w:jc w:val="both"/>
    </w:pPr>
  </w:style>
  <w:style w:type="paragraph" w:styleId="Corpodetexto2">
    <w:name w:val="Body Text 2"/>
    <w:basedOn w:val="Normal"/>
    <w:qFormat/>
    <w:rsid w:val="00C4029B"/>
    <w:pPr>
      <w:spacing w:after="120" w:line="480" w:lineRule="auto"/>
    </w:pPr>
  </w:style>
  <w:style w:type="paragraph" w:styleId="Rodap">
    <w:name w:val="footer"/>
    <w:basedOn w:val="Normal"/>
    <w:rsid w:val="00C4029B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tulo">
    <w:name w:val="Title"/>
    <w:basedOn w:val="Normal"/>
    <w:qFormat/>
    <w:rsid w:val="00C4029B"/>
    <w:pPr>
      <w:spacing w:line="360" w:lineRule="auto"/>
      <w:jc w:val="center"/>
    </w:pPr>
    <w:rPr>
      <w:szCs w:val="20"/>
    </w:rPr>
  </w:style>
  <w:style w:type="paragraph" w:customStyle="1" w:styleId="TESE">
    <w:name w:val="TESE"/>
    <w:qFormat/>
    <w:rsid w:val="00C4029B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C4029B"/>
    <w:pPr>
      <w:spacing w:beforeAutospacing="1" w:afterAutospacing="1"/>
    </w:pPr>
    <w:rPr>
      <w:rFonts w:ascii="Arial Unicode MS" w:eastAsia="Arial Unicode MS" w:hAnsi="Arial Unicode MS" w:cs="Vrinda"/>
    </w:rPr>
  </w:style>
  <w:style w:type="paragraph" w:styleId="Textodenotaderodap">
    <w:name w:val="footnote text"/>
    <w:basedOn w:val="Normal"/>
    <w:semiHidden/>
    <w:qFormat/>
    <w:rsid w:val="00C4029B"/>
    <w:rPr>
      <w:sz w:val="20"/>
    </w:rPr>
  </w:style>
  <w:style w:type="paragraph" w:styleId="Cabealho">
    <w:name w:val="header"/>
    <w:basedOn w:val="Normal"/>
    <w:rsid w:val="008218D2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167E28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qFormat/>
    <w:rsid w:val="00334D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59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7F0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nhideWhenUsed/>
    <w:rsid w:val="00E23A6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nhideWhenUsed/>
    <w:rsid w:val="00D649A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649AF"/>
    <w:rPr>
      <w:sz w:val="24"/>
      <w:szCs w:val="24"/>
    </w:rPr>
  </w:style>
  <w:style w:type="table" w:styleId="TabeladeGrade4">
    <w:name w:val="Grid Table 4"/>
    <w:basedOn w:val="Tabelanormal"/>
    <w:uiPriority w:val="49"/>
    <w:rsid w:val="00522CAF"/>
    <w:pPr>
      <w:pBdr>
        <w:top w:val="nil"/>
        <w:left w:val="nil"/>
        <w:bottom w:val="nil"/>
        <w:right w:val="nil"/>
        <w:between w:val="nil"/>
      </w:pBdr>
    </w:pPr>
    <w:rPr>
      <w:color w:val="000000"/>
      <w:highlight w:val="whit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unhideWhenUsed/>
    <w:qFormat/>
    <w:rsid w:val="00D21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218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D2188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21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2188D"/>
    <w:rPr>
      <w:b/>
      <w:bCs/>
    </w:rPr>
  </w:style>
  <w:style w:type="character" w:customStyle="1" w:styleId="st">
    <w:name w:val="st"/>
    <w:basedOn w:val="Fontepargpadro"/>
    <w:qFormat/>
    <w:rsid w:val="003357AB"/>
  </w:style>
  <w:style w:type="character" w:styleId="nfase">
    <w:name w:val="Emphasis"/>
    <w:basedOn w:val="Fontepargpadro"/>
    <w:uiPriority w:val="20"/>
    <w:qFormat/>
    <w:rsid w:val="003357AB"/>
    <w:rPr>
      <w:i/>
      <w:iCs/>
    </w:rPr>
  </w:style>
  <w:style w:type="paragraph" w:customStyle="1" w:styleId="Normal1">
    <w:name w:val="Normal1"/>
    <w:rsid w:val="001A2EA5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75495-028C-45BA-AB86-72F14C09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Cavalcanti de Queiroz</dc:creator>
  <cp:keywords/>
  <dc:description/>
  <cp:lastModifiedBy>Marina Demas</cp:lastModifiedBy>
  <cp:revision>4</cp:revision>
  <cp:lastPrinted>2010-07-16T16:18:00Z</cp:lastPrinted>
  <dcterms:created xsi:type="dcterms:W3CDTF">2019-05-02T20:49:00Z</dcterms:created>
  <dcterms:modified xsi:type="dcterms:W3CDTF">2019-05-02T20:51:00Z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