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5E42D" w14:textId="77777777" w:rsidR="00A05CFC" w:rsidRPr="00757482" w:rsidRDefault="00A05CFC" w:rsidP="00467B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7482">
        <w:rPr>
          <w:rFonts w:ascii="Times New Roman" w:hAnsi="Times New Roman" w:cs="Times New Roman"/>
          <w:sz w:val="24"/>
          <w:szCs w:val="24"/>
        </w:rPr>
        <w:t>Área temática: Nutrição Clínica</w:t>
      </w:r>
    </w:p>
    <w:p w14:paraId="6D3CAB11" w14:textId="79BB89B7" w:rsidR="005F1585" w:rsidRPr="00757482" w:rsidRDefault="00CE2E5A" w:rsidP="00467B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57482">
        <w:rPr>
          <w:rFonts w:ascii="Times New Roman" w:hAnsi="Times New Roman" w:cs="Times New Roman"/>
          <w:b/>
          <w:sz w:val="28"/>
          <w:szCs w:val="24"/>
        </w:rPr>
        <w:t>ÂNGULO DE FASE NA AVALIAÇÃO PROG</w:t>
      </w:r>
      <w:r w:rsidR="00E91F1B">
        <w:rPr>
          <w:rFonts w:ascii="Times New Roman" w:hAnsi="Times New Roman" w:cs="Times New Roman"/>
          <w:b/>
          <w:sz w:val="28"/>
          <w:szCs w:val="24"/>
        </w:rPr>
        <w:t>N</w:t>
      </w:r>
      <w:r w:rsidRPr="00757482">
        <w:rPr>
          <w:rFonts w:ascii="Times New Roman" w:hAnsi="Times New Roman" w:cs="Times New Roman"/>
          <w:b/>
          <w:sz w:val="28"/>
          <w:szCs w:val="24"/>
        </w:rPr>
        <w:t>Ó</w:t>
      </w:r>
      <w:r w:rsidR="00E91F1B">
        <w:rPr>
          <w:rFonts w:ascii="Times New Roman" w:hAnsi="Times New Roman" w:cs="Times New Roman"/>
          <w:b/>
          <w:sz w:val="28"/>
          <w:szCs w:val="24"/>
        </w:rPr>
        <w:t>S</w:t>
      </w:r>
      <w:r w:rsidRPr="00757482">
        <w:rPr>
          <w:rFonts w:ascii="Times New Roman" w:hAnsi="Times New Roman" w:cs="Times New Roman"/>
          <w:b/>
          <w:sz w:val="28"/>
          <w:szCs w:val="24"/>
        </w:rPr>
        <w:t>TICA E DO ESTADO NUTRICIONAL EM PEDIATRIA:  UM</w:t>
      </w:r>
      <w:r w:rsidR="00B00BF9" w:rsidRPr="00757482">
        <w:rPr>
          <w:rFonts w:ascii="Times New Roman" w:hAnsi="Times New Roman" w:cs="Times New Roman"/>
          <w:b/>
          <w:sz w:val="28"/>
          <w:szCs w:val="24"/>
        </w:rPr>
        <w:t>A REV</w:t>
      </w:r>
      <w:bookmarkStart w:id="0" w:name="_GoBack"/>
      <w:bookmarkEnd w:id="0"/>
      <w:r w:rsidR="00B00BF9" w:rsidRPr="00757482">
        <w:rPr>
          <w:rFonts w:ascii="Times New Roman" w:hAnsi="Times New Roman" w:cs="Times New Roman"/>
          <w:b/>
          <w:sz w:val="28"/>
          <w:szCs w:val="24"/>
        </w:rPr>
        <w:t>ISÃO</w:t>
      </w:r>
      <w:r w:rsidR="00704B11" w:rsidRPr="0075748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5289A" w:rsidRPr="00757482">
        <w:rPr>
          <w:rFonts w:ascii="Times New Roman" w:hAnsi="Times New Roman" w:cs="Times New Roman"/>
          <w:b/>
          <w:sz w:val="28"/>
          <w:szCs w:val="24"/>
        </w:rPr>
        <w:t>SISTEMÁTICA</w:t>
      </w:r>
    </w:p>
    <w:p w14:paraId="5FBE58C3" w14:textId="18E16335" w:rsidR="00FC4379" w:rsidRPr="00757482" w:rsidRDefault="00A16EE7" w:rsidP="00467B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7482">
        <w:rPr>
          <w:rFonts w:ascii="Times New Roman" w:hAnsi="Times New Roman" w:cs="Times New Roman"/>
          <w:b/>
          <w:sz w:val="24"/>
          <w:szCs w:val="24"/>
        </w:rPr>
        <w:t>André Eduardo da Silva Júnior</w:t>
      </w:r>
      <w:r w:rsidRPr="00757482">
        <w:rPr>
          <w:rFonts w:ascii="Times New Roman" w:hAnsi="Times New Roman" w:cs="Times New Roman"/>
          <w:sz w:val="24"/>
          <w:szCs w:val="24"/>
        </w:rPr>
        <w:t>¹</w:t>
      </w:r>
      <w:r w:rsidR="00FC4379" w:rsidRPr="00757482">
        <w:rPr>
          <w:rFonts w:ascii="Times New Roman" w:hAnsi="Times New Roman" w:cs="Times New Roman"/>
          <w:sz w:val="24"/>
          <w:szCs w:val="24"/>
        </w:rPr>
        <w:t xml:space="preserve"> (andreeduardojr@hotmail.com)</w:t>
      </w:r>
      <w:r w:rsidR="00801301" w:rsidRPr="007574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026EE" w14:textId="77777777" w:rsidR="00FC4379" w:rsidRPr="00757482" w:rsidRDefault="00801301" w:rsidP="00467B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7482">
        <w:rPr>
          <w:rFonts w:ascii="Times New Roman" w:hAnsi="Times New Roman" w:cs="Times New Roman"/>
          <w:sz w:val="24"/>
          <w:szCs w:val="24"/>
        </w:rPr>
        <w:t>Mateus de Lima Macena¹</w:t>
      </w:r>
      <w:r w:rsidR="00CA2661" w:rsidRPr="007574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BF481" w14:textId="4CB73428" w:rsidR="00467B2D" w:rsidRPr="00757482" w:rsidRDefault="00804006" w:rsidP="00467B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7482">
        <w:rPr>
          <w:rFonts w:ascii="Times New Roman" w:hAnsi="Times New Roman" w:cs="Times New Roman"/>
          <w:sz w:val="24"/>
          <w:szCs w:val="24"/>
        </w:rPr>
        <w:t>Dafiny Rodrigues Silva Praxedes</w:t>
      </w:r>
      <w:r w:rsidR="00CE2E5A" w:rsidRPr="00757482">
        <w:rPr>
          <w:rFonts w:ascii="Times New Roman" w:hAnsi="Times New Roman" w:cs="Times New Roman"/>
          <w:sz w:val="24"/>
          <w:szCs w:val="24"/>
        </w:rPr>
        <w:t>¹</w:t>
      </w:r>
      <w:r w:rsidR="00801301" w:rsidRPr="007574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8C570" w14:textId="26E75D68" w:rsidR="00467B2D" w:rsidRPr="00757482" w:rsidRDefault="00467B2D" w:rsidP="00467B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7482">
        <w:rPr>
          <w:rFonts w:ascii="Times New Roman" w:hAnsi="Times New Roman" w:cs="Times New Roman"/>
          <w:sz w:val="24"/>
          <w:szCs w:val="24"/>
        </w:rPr>
        <w:t>Lais Gomes Lessa Vasconcelos¹</w:t>
      </w:r>
    </w:p>
    <w:p w14:paraId="10A35646" w14:textId="2AFD5516" w:rsidR="00FC4379" w:rsidRPr="00757482" w:rsidRDefault="00804006" w:rsidP="00467B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7482">
        <w:rPr>
          <w:rFonts w:ascii="Times New Roman" w:hAnsi="Times New Roman" w:cs="Times New Roman"/>
          <w:sz w:val="24"/>
          <w:szCs w:val="24"/>
        </w:rPr>
        <w:t>Isabele Rejane de Oliveira Maranhão Pureza</w:t>
      </w:r>
      <w:r w:rsidR="00A16EE7" w:rsidRPr="00757482">
        <w:rPr>
          <w:rFonts w:ascii="Times New Roman" w:hAnsi="Times New Roman" w:cs="Times New Roman"/>
          <w:sz w:val="24"/>
          <w:szCs w:val="24"/>
        </w:rPr>
        <w:t xml:space="preserve">¹ </w:t>
      </w:r>
    </w:p>
    <w:p w14:paraId="65317D71" w14:textId="4A894D7E" w:rsidR="00A16EE7" w:rsidRPr="00757482" w:rsidRDefault="00804006" w:rsidP="00467B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7482">
        <w:rPr>
          <w:rFonts w:ascii="Times New Roman" w:hAnsi="Times New Roman" w:cs="Times New Roman"/>
          <w:sz w:val="24"/>
          <w:szCs w:val="24"/>
        </w:rPr>
        <w:t>Nassib Bezerra Bueno</w:t>
      </w:r>
      <w:r w:rsidR="00A16EE7" w:rsidRPr="00757482">
        <w:rPr>
          <w:rFonts w:ascii="Times New Roman" w:hAnsi="Times New Roman" w:cs="Times New Roman"/>
          <w:sz w:val="24"/>
          <w:szCs w:val="24"/>
        </w:rPr>
        <w:t xml:space="preserve">¹ </w:t>
      </w:r>
    </w:p>
    <w:p w14:paraId="36A632DD" w14:textId="77777777" w:rsidR="00704B11" w:rsidRPr="00757482" w:rsidRDefault="00704B11" w:rsidP="00467B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482">
        <w:rPr>
          <w:rFonts w:ascii="Times New Roman" w:hAnsi="Times New Roman" w:cs="Times New Roman"/>
          <w:sz w:val="24"/>
          <w:szCs w:val="24"/>
        </w:rPr>
        <w:t xml:space="preserve">¹ Universidade Federal de Alagoas – UFAL, Maceió, Alagoas, Brasil </w:t>
      </w:r>
    </w:p>
    <w:p w14:paraId="37D66D78" w14:textId="51C59BCC" w:rsidR="00CA7735" w:rsidRPr="00757482" w:rsidRDefault="00B00BF9" w:rsidP="00467B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482">
        <w:rPr>
          <w:rFonts w:ascii="Times New Roman" w:hAnsi="Times New Roman" w:cs="Times New Roman"/>
          <w:sz w:val="24"/>
          <w:szCs w:val="24"/>
        </w:rPr>
        <w:t xml:space="preserve"> </w:t>
      </w:r>
      <w:r w:rsidR="00FC4379" w:rsidRPr="00757482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383267B1" w14:textId="4808D802" w:rsidR="00FC4379" w:rsidRPr="00757482" w:rsidRDefault="00BD289E" w:rsidP="00467B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482">
        <w:rPr>
          <w:rFonts w:ascii="Times New Roman" w:eastAsia="Times New Roman" w:hAnsi="Times New Roman" w:cs="Times New Roman"/>
          <w:sz w:val="24"/>
          <w:szCs w:val="24"/>
        </w:rPr>
        <w:t>A avaliação do estado nutricional no público pediátrico é um aspecto cada vez mais importante na detecção de situações de risco, diagnóstico nutricional e no planejamento e desenvolvimento de ações de promoção da saúde e prevenção de doenças.  Para tanto, história clínica e alimentar, exame físico e medidas antropométricas são métodos bem aceitos e validados. Entre os procedimentos de análise da composição corporal, a bioimpedância elétrica representa uma ferramenta não invasiva, segura e de fácil execução, com um número crescente de estudos que sustentam seu uso. A partir dos dados de resistência e reatância</w:t>
      </w:r>
      <w:r w:rsidR="00EF0C2C" w:rsidRPr="0075748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57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0C2C" w:rsidRPr="00757482">
        <w:rPr>
          <w:rFonts w:ascii="Times New Roman" w:eastAsia="Times New Roman" w:hAnsi="Times New Roman" w:cs="Times New Roman"/>
          <w:sz w:val="24"/>
          <w:szCs w:val="24"/>
        </w:rPr>
        <w:t xml:space="preserve">obtidos através da bioimpedância elétrica, </w:t>
      </w:r>
      <w:r w:rsidRPr="00757482">
        <w:rPr>
          <w:rFonts w:ascii="Times New Roman" w:eastAsia="Times New Roman" w:hAnsi="Times New Roman" w:cs="Times New Roman"/>
          <w:sz w:val="24"/>
          <w:szCs w:val="24"/>
        </w:rPr>
        <w:t xml:space="preserve">é possível </w:t>
      </w:r>
      <w:r w:rsidR="00EF0C2C" w:rsidRPr="00757482">
        <w:rPr>
          <w:rFonts w:ascii="Times New Roman" w:eastAsia="Times New Roman" w:hAnsi="Times New Roman" w:cs="Times New Roman"/>
          <w:sz w:val="24"/>
          <w:szCs w:val="24"/>
        </w:rPr>
        <w:t xml:space="preserve">calcular </w:t>
      </w:r>
      <w:r w:rsidRPr="00757482">
        <w:rPr>
          <w:rFonts w:ascii="Times New Roman" w:eastAsia="Times New Roman" w:hAnsi="Times New Roman" w:cs="Times New Roman"/>
          <w:sz w:val="24"/>
          <w:szCs w:val="24"/>
        </w:rPr>
        <w:t>o ângulo de fase. O ângulo de fase tem sido utilizado como indicador prognóstico e estado nutricional, pois este se reflete como um parâmetro da integridade celular e é obtido através da equação: (Reatância/</w:t>
      </w:r>
      <w:r w:rsidR="00EF0C2C" w:rsidRPr="00757482">
        <w:rPr>
          <w:rFonts w:ascii="Times New Roman" w:eastAsia="Times New Roman" w:hAnsi="Times New Roman" w:cs="Times New Roman"/>
          <w:sz w:val="24"/>
          <w:szCs w:val="24"/>
        </w:rPr>
        <w:t xml:space="preserve">Resistência) x </w:t>
      </w:r>
      <w:r w:rsidRPr="00757482">
        <w:rPr>
          <w:rFonts w:ascii="Times New Roman" w:eastAsia="Times New Roman" w:hAnsi="Times New Roman" w:cs="Times New Roman"/>
          <w:sz w:val="24"/>
          <w:szCs w:val="24"/>
        </w:rPr>
        <w:t>(18</w:t>
      </w:r>
      <w:r w:rsidR="00181A37" w:rsidRPr="00757482">
        <w:rPr>
          <w:rFonts w:ascii="Times New Roman" w:eastAsia="Times New Roman" w:hAnsi="Times New Roman" w:cs="Times New Roman"/>
          <w:sz w:val="24"/>
          <w:szCs w:val="24"/>
        </w:rPr>
        <w:t>0/π)</w:t>
      </w:r>
      <w:r w:rsidRPr="007574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Em pediatria, tal medida vem sendo utilizada em diversas condições de saúde e doença. </w:t>
      </w:r>
    </w:p>
    <w:p w14:paraId="00C0B5A4" w14:textId="77777777" w:rsidR="00FC4379" w:rsidRPr="00757482" w:rsidRDefault="00FC4379" w:rsidP="00467B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482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7C04FADD" w14:textId="2E664DF4" w:rsidR="00A16EE7" w:rsidRPr="00757482" w:rsidRDefault="00804006" w:rsidP="00467B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482">
        <w:rPr>
          <w:rFonts w:ascii="Times New Roman" w:hAnsi="Times New Roman" w:cs="Times New Roman"/>
          <w:sz w:val="24"/>
          <w:szCs w:val="24"/>
        </w:rPr>
        <w:t xml:space="preserve">Investigar o uso do ângulo de fase como </w:t>
      </w:r>
      <w:r w:rsidR="00CE2E5A" w:rsidRPr="00757482">
        <w:rPr>
          <w:rFonts w:ascii="Times New Roman" w:hAnsi="Times New Roman" w:cs="Times New Roman"/>
          <w:sz w:val="24"/>
          <w:szCs w:val="24"/>
        </w:rPr>
        <w:t>ferramenta</w:t>
      </w:r>
      <w:r w:rsidRPr="00757482">
        <w:rPr>
          <w:rFonts w:ascii="Times New Roman" w:hAnsi="Times New Roman" w:cs="Times New Roman"/>
          <w:sz w:val="24"/>
          <w:szCs w:val="24"/>
        </w:rPr>
        <w:t xml:space="preserve"> p</w:t>
      </w:r>
      <w:r w:rsidR="00CE2E5A" w:rsidRPr="00757482">
        <w:rPr>
          <w:rFonts w:ascii="Times New Roman" w:hAnsi="Times New Roman" w:cs="Times New Roman"/>
          <w:sz w:val="24"/>
          <w:szCs w:val="24"/>
        </w:rPr>
        <w:t>rognóstica e de avaliação do estado nutricional em pediatria</w:t>
      </w:r>
      <w:r w:rsidR="00704B11" w:rsidRPr="00757482">
        <w:rPr>
          <w:rFonts w:ascii="Times New Roman" w:hAnsi="Times New Roman" w:cs="Times New Roman"/>
          <w:sz w:val="24"/>
          <w:szCs w:val="24"/>
        </w:rPr>
        <w:t>.</w:t>
      </w:r>
    </w:p>
    <w:p w14:paraId="6618E985" w14:textId="77777777" w:rsidR="00FC4379" w:rsidRPr="00757482" w:rsidRDefault="00FC4379" w:rsidP="00467B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57482">
        <w:rPr>
          <w:rFonts w:ascii="Times New Roman" w:hAnsi="Times New Roman" w:cs="Times New Roman"/>
          <w:b/>
          <w:sz w:val="24"/>
          <w:szCs w:val="24"/>
        </w:rPr>
        <w:t>MÉTODOS</w:t>
      </w:r>
    </w:p>
    <w:p w14:paraId="64C374A5" w14:textId="439BB299" w:rsidR="00C12D2B" w:rsidRPr="00757482" w:rsidRDefault="008737F5" w:rsidP="00467B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482">
        <w:rPr>
          <w:rFonts w:ascii="Times New Roman" w:hAnsi="Times New Roman" w:cs="Times New Roman"/>
          <w:sz w:val="24"/>
          <w:szCs w:val="24"/>
        </w:rPr>
        <w:t xml:space="preserve">Trata-se de uma revisão </w:t>
      </w:r>
      <w:r w:rsidR="00BE16F9" w:rsidRPr="00757482">
        <w:rPr>
          <w:rFonts w:ascii="Times New Roman" w:hAnsi="Times New Roman" w:cs="Times New Roman"/>
          <w:sz w:val="24"/>
          <w:szCs w:val="24"/>
        </w:rPr>
        <w:t>sistemática</w:t>
      </w:r>
      <w:r w:rsidRPr="00757482">
        <w:rPr>
          <w:rFonts w:ascii="Times New Roman" w:hAnsi="Times New Roman" w:cs="Times New Roman"/>
          <w:sz w:val="24"/>
          <w:szCs w:val="24"/>
        </w:rPr>
        <w:t xml:space="preserve"> da literatura. A</w:t>
      </w:r>
      <w:r w:rsidR="00C12D2B" w:rsidRPr="00757482">
        <w:rPr>
          <w:rFonts w:ascii="Times New Roman" w:hAnsi="Times New Roman" w:cs="Times New Roman"/>
          <w:sz w:val="24"/>
          <w:szCs w:val="24"/>
        </w:rPr>
        <w:t>s</w:t>
      </w:r>
      <w:r w:rsidRPr="00757482">
        <w:rPr>
          <w:rFonts w:ascii="Times New Roman" w:hAnsi="Times New Roman" w:cs="Times New Roman"/>
          <w:sz w:val="24"/>
          <w:szCs w:val="24"/>
        </w:rPr>
        <w:t xml:space="preserve"> busca</w:t>
      </w:r>
      <w:r w:rsidR="00C12D2B" w:rsidRPr="00757482">
        <w:rPr>
          <w:rFonts w:ascii="Times New Roman" w:hAnsi="Times New Roman" w:cs="Times New Roman"/>
          <w:sz w:val="24"/>
          <w:szCs w:val="24"/>
        </w:rPr>
        <w:t>s</w:t>
      </w:r>
      <w:r w:rsidRPr="00757482">
        <w:rPr>
          <w:rFonts w:ascii="Times New Roman" w:hAnsi="Times New Roman" w:cs="Times New Roman"/>
          <w:sz w:val="24"/>
          <w:szCs w:val="24"/>
        </w:rPr>
        <w:t xml:space="preserve"> dos artigos ocorre</w:t>
      </w:r>
      <w:r w:rsidR="00C12D2B" w:rsidRPr="00757482">
        <w:rPr>
          <w:rFonts w:ascii="Times New Roman" w:hAnsi="Times New Roman" w:cs="Times New Roman"/>
          <w:sz w:val="24"/>
          <w:szCs w:val="24"/>
        </w:rPr>
        <w:t xml:space="preserve">ram </w:t>
      </w:r>
      <w:r w:rsidRPr="00757482">
        <w:rPr>
          <w:rFonts w:ascii="Times New Roman" w:hAnsi="Times New Roman" w:cs="Times New Roman"/>
          <w:sz w:val="24"/>
          <w:szCs w:val="24"/>
        </w:rPr>
        <w:t>em abril de 2019, na base de dados MEDLINE</w:t>
      </w:r>
      <w:r w:rsidR="001D33CA" w:rsidRPr="00757482">
        <w:rPr>
          <w:rFonts w:ascii="Times New Roman" w:hAnsi="Times New Roman" w:cs="Times New Roman"/>
          <w:sz w:val="24"/>
          <w:szCs w:val="24"/>
        </w:rPr>
        <w:t xml:space="preserve"> (PubMed)</w:t>
      </w:r>
      <w:r w:rsidRPr="00757482">
        <w:rPr>
          <w:rFonts w:ascii="Times New Roman" w:hAnsi="Times New Roman" w:cs="Times New Roman"/>
          <w:sz w:val="24"/>
          <w:szCs w:val="24"/>
        </w:rPr>
        <w:t xml:space="preserve">. </w:t>
      </w:r>
      <w:r w:rsidR="00AB21B2" w:rsidRPr="00757482">
        <w:rPr>
          <w:rFonts w:ascii="Times New Roman" w:hAnsi="Times New Roman" w:cs="Times New Roman"/>
          <w:sz w:val="24"/>
          <w:szCs w:val="24"/>
        </w:rPr>
        <w:t xml:space="preserve">Foram incluídos todos os artigos originais </w:t>
      </w:r>
      <w:r w:rsidR="00AB21B2" w:rsidRPr="00757482">
        <w:rPr>
          <w:rFonts w:ascii="Times New Roman" w:hAnsi="Times New Roman" w:cs="Times New Roman"/>
          <w:sz w:val="24"/>
          <w:szCs w:val="24"/>
        </w:rPr>
        <w:lastRenderedPageBreak/>
        <w:t>indexados nas bases de dados realizados apenas com humanos, não houve restrição quanto ao tempo ou idioma de publicação, e os artigos de revisão não foram incluídos neste estudo.</w:t>
      </w:r>
      <w:r w:rsidR="00CE2E5A" w:rsidRPr="00757482">
        <w:rPr>
          <w:rFonts w:ascii="Times New Roman" w:hAnsi="Times New Roman" w:cs="Times New Roman"/>
          <w:sz w:val="24"/>
          <w:szCs w:val="24"/>
        </w:rPr>
        <w:t xml:space="preserve"> A estratégia de busca incluiu descritores relacionados com os termos </w:t>
      </w:r>
      <w:r w:rsidR="00BD289E" w:rsidRPr="00757482">
        <w:rPr>
          <w:rFonts w:ascii="Times New Roman" w:hAnsi="Times New Roman" w:cs="Times New Roman"/>
          <w:sz w:val="24"/>
          <w:szCs w:val="24"/>
        </w:rPr>
        <w:t>ângulo de fase, crianças, adolescentes e pediatria.</w:t>
      </w:r>
      <w:r w:rsidR="00CE2E5A" w:rsidRPr="00757482">
        <w:rPr>
          <w:rFonts w:ascii="Times New Roman" w:hAnsi="Times New Roman" w:cs="Times New Roman"/>
          <w:sz w:val="24"/>
          <w:szCs w:val="24"/>
        </w:rPr>
        <w:t xml:space="preserve"> A busca e avaliação dos </w:t>
      </w:r>
      <w:r w:rsidR="00452739" w:rsidRPr="00757482">
        <w:rPr>
          <w:rFonts w:ascii="Times New Roman" w:hAnsi="Times New Roman" w:cs="Times New Roman"/>
          <w:sz w:val="24"/>
          <w:szCs w:val="24"/>
        </w:rPr>
        <w:t xml:space="preserve">artigos foram </w:t>
      </w:r>
      <w:r w:rsidR="00CE2E5A" w:rsidRPr="00757482">
        <w:rPr>
          <w:rFonts w:ascii="Times New Roman" w:hAnsi="Times New Roman" w:cs="Times New Roman"/>
          <w:sz w:val="24"/>
          <w:szCs w:val="24"/>
        </w:rPr>
        <w:t>realizadas por dois</w:t>
      </w:r>
      <w:r w:rsidR="00452739" w:rsidRPr="00757482">
        <w:rPr>
          <w:rFonts w:ascii="Times New Roman" w:hAnsi="Times New Roman" w:cs="Times New Roman"/>
          <w:sz w:val="24"/>
          <w:szCs w:val="24"/>
        </w:rPr>
        <w:t xml:space="preserve"> pesquisadores independentes</w:t>
      </w:r>
      <w:r w:rsidR="00810AB5" w:rsidRPr="00757482">
        <w:rPr>
          <w:rFonts w:ascii="Times New Roman" w:hAnsi="Times New Roman" w:cs="Times New Roman"/>
          <w:sz w:val="24"/>
          <w:szCs w:val="24"/>
        </w:rPr>
        <w:t xml:space="preserve"> </w:t>
      </w:r>
      <w:r w:rsidR="00452739" w:rsidRPr="00757482">
        <w:rPr>
          <w:rFonts w:ascii="Times New Roman" w:hAnsi="Times New Roman" w:cs="Times New Roman"/>
          <w:sz w:val="24"/>
          <w:szCs w:val="24"/>
        </w:rPr>
        <w:t>e,</w:t>
      </w:r>
      <w:r w:rsidR="00DA0256" w:rsidRPr="00757482">
        <w:rPr>
          <w:rFonts w:ascii="Times New Roman" w:hAnsi="Times New Roman" w:cs="Times New Roman"/>
          <w:sz w:val="24"/>
          <w:szCs w:val="24"/>
        </w:rPr>
        <w:t xml:space="preserve"> um terceiro avaliador</w:t>
      </w:r>
      <w:r w:rsidR="00452739" w:rsidRPr="00757482">
        <w:rPr>
          <w:rFonts w:ascii="Times New Roman" w:hAnsi="Times New Roman" w:cs="Times New Roman"/>
          <w:sz w:val="24"/>
          <w:szCs w:val="24"/>
        </w:rPr>
        <w:t xml:space="preserve"> quando houve divergência entre</w:t>
      </w:r>
      <w:r w:rsidR="00DA0256" w:rsidRPr="00757482">
        <w:rPr>
          <w:rFonts w:ascii="Times New Roman" w:hAnsi="Times New Roman" w:cs="Times New Roman"/>
          <w:sz w:val="24"/>
          <w:szCs w:val="24"/>
        </w:rPr>
        <w:t xml:space="preserve"> os primeiros</w:t>
      </w:r>
      <w:r w:rsidR="00452739" w:rsidRPr="00757482">
        <w:rPr>
          <w:rFonts w:ascii="Times New Roman" w:hAnsi="Times New Roman" w:cs="Times New Roman"/>
          <w:sz w:val="24"/>
          <w:szCs w:val="24"/>
        </w:rPr>
        <w:t>.</w:t>
      </w:r>
      <w:r w:rsidRPr="007574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EDC45" w14:textId="77777777" w:rsidR="00A16EE7" w:rsidRPr="00757482" w:rsidRDefault="00FC4379" w:rsidP="00467B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482">
        <w:rPr>
          <w:rFonts w:ascii="Times New Roman" w:hAnsi="Times New Roman" w:cs="Times New Roman"/>
          <w:b/>
          <w:sz w:val="24"/>
          <w:szCs w:val="24"/>
        </w:rPr>
        <w:t>RESULTADOS</w:t>
      </w:r>
      <w:r w:rsidR="00A16EE7" w:rsidRPr="007574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F15C38" w14:textId="741EB27D" w:rsidR="00DA0256" w:rsidRPr="00757482" w:rsidRDefault="00BD289E" w:rsidP="00467B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482">
        <w:rPr>
          <w:rFonts w:ascii="Times New Roman" w:eastAsia="Times New Roman" w:hAnsi="Times New Roman" w:cs="Times New Roman"/>
          <w:sz w:val="24"/>
          <w:szCs w:val="24"/>
        </w:rPr>
        <w:t>Foram identificadas 1</w:t>
      </w:r>
      <w:r w:rsidR="00EF67DD" w:rsidRPr="00757482">
        <w:rPr>
          <w:rFonts w:ascii="Times New Roman" w:eastAsia="Times New Roman" w:hAnsi="Times New Roman" w:cs="Times New Roman"/>
          <w:sz w:val="24"/>
          <w:szCs w:val="24"/>
        </w:rPr>
        <w:t>96</w:t>
      </w:r>
      <w:r w:rsidRPr="00757482">
        <w:rPr>
          <w:rFonts w:ascii="Times New Roman" w:eastAsia="Times New Roman" w:hAnsi="Times New Roman" w:cs="Times New Roman"/>
          <w:sz w:val="24"/>
          <w:szCs w:val="24"/>
        </w:rPr>
        <w:t xml:space="preserve"> ocorrências na base de dados com a estratégia de busca utilizada. Destes</w:t>
      </w:r>
      <w:r w:rsidR="00DA0256" w:rsidRPr="0075748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57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0256" w:rsidRPr="00757482">
        <w:rPr>
          <w:rFonts w:ascii="Times New Roman" w:eastAsia="Times New Roman" w:hAnsi="Times New Roman" w:cs="Times New Roman"/>
          <w:sz w:val="24"/>
          <w:szCs w:val="24"/>
        </w:rPr>
        <w:t>175</w:t>
      </w:r>
      <w:r w:rsidRPr="00757482">
        <w:rPr>
          <w:rFonts w:ascii="Times New Roman" w:eastAsia="Times New Roman" w:hAnsi="Times New Roman" w:cs="Times New Roman"/>
          <w:sz w:val="24"/>
          <w:szCs w:val="24"/>
        </w:rPr>
        <w:t xml:space="preserve"> foram excluídos após a leitura dos títulos e dos resumos e </w:t>
      </w:r>
      <w:r w:rsidR="00DA0256" w:rsidRPr="0075748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57482">
        <w:rPr>
          <w:rFonts w:ascii="Times New Roman" w:eastAsia="Times New Roman" w:hAnsi="Times New Roman" w:cs="Times New Roman"/>
          <w:sz w:val="24"/>
          <w:szCs w:val="24"/>
        </w:rPr>
        <w:t xml:space="preserve"> excluídos após a leitura do artigo na íntegra, sendo incluído </w:t>
      </w:r>
      <w:r w:rsidR="00301AEC" w:rsidRPr="00757482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57482">
        <w:rPr>
          <w:rFonts w:ascii="Times New Roman" w:eastAsia="Times New Roman" w:hAnsi="Times New Roman" w:cs="Times New Roman"/>
          <w:sz w:val="24"/>
          <w:szCs w:val="24"/>
        </w:rPr>
        <w:t xml:space="preserve"> artigos nesta revisão. 2 artigos foram incluídos a partir da lista de referências dos artigos incluídos pela busca.</w:t>
      </w:r>
      <w:r w:rsidR="00DA0256" w:rsidRPr="00757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7482">
        <w:rPr>
          <w:rFonts w:ascii="Times New Roman" w:eastAsia="Times New Roman" w:hAnsi="Times New Roman" w:cs="Times New Roman"/>
          <w:sz w:val="24"/>
          <w:szCs w:val="24"/>
        </w:rPr>
        <w:t xml:space="preserve"> O ângulo de fase </w:t>
      </w:r>
      <w:r w:rsidR="00DA0256" w:rsidRPr="00757482">
        <w:rPr>
          <w:rFonts w:ascii="Times New Roman" w:eastAsia="Times New Roman" w:hAnsi="Times New Roman" w:cs="Times New Roman"/>
          <w:sz w:val="24"/>
          <w:szCs w:val="24"/>
        </w:rPr>
        <w:t xml:space="preserve">foi avaliado em diversas doenças no público pediátrico como doença cardíaca congênita, osteogênese imperfeita, diabetes mellitus tipo 1, desnutrição severa, </w:t>
      </w:r>
      <w:r w:rsidR="008D7368" w:rsidRPr="00757482">
        <w:rPr>
          <w:rFonts w:ascii="Times New Roman" w:eastAsia="Times New Roman" w:hAnsi="Times New Roman" w:cs="Times New Roman"/>
          <w:sz w:val="24"/>
          <w:szCs w:val="24"/>
        </w:rPr>
        <w:t xml:space="preserve">pacientes críticos, </w:t>
      </w:r>
      <w:r w:rsidR="00DA0256" w:rsidRPr="00757482">
        <w:rPr>
          <w:rFonts w:ascii="Times New Roman" w:eastAsia="Times New Roman" w:hAnsi="Times New Roman" w:cs="Times New Roman"/>
          <w:sz w:val="24"/>
          <w:szCs w:val="24"/>
        </w:rPr>
        <w:t xml:space="preserve">anemia falciforme, doença de </w:t>
      </w:r>
      <w:proofErr w:type="spellStart"/>
      <w:r w:rsidR="00DA0256" w:rsidRPr="00757482">
        <w:rPr>
          <w:rFonts w:ascii="Times New Roman" w:eastAsia="Times New Roman" w:hAnsi="Times New Roman" w:cs="Times New Roman"/>
          <w:sz w:val="24"/>
          <w:szCs w:val="24"/>
        </w:rPr>
        <w:t>Crohn</w:t>
      </w:r>
      <w:proofErr w:type="spellEnd"/>
      <w:r w:rsidR="00DA0256" w:rsidRPr="00757482">
        <w:rPr>
          <w:rFonts w:ascii="Times New Roman" w:eastAsia="Times New Roman" w:hAnsi="Times New Roman" w:cs="Times New Roman"/>
          <w:sz w:val="24"/>
          <w:szCs w:val="24"/>
        </w:rPr>
        <w:t>, colite ulcerativa. Os resultados destes estudos demostram que menores valores de ângulo de fase estão associados a maior tempo de permanência internamento hospitalar</w:t>
      </w:r>
      <w:r w:rsidR="00810AB5" w:rsidRPr="00757482">
        <w:rPr>
          <w:rFonts w:ascii="Times New Roman" w:eastAsia="Times New Roman" w:hAnsi="Times New Roman" w:cs="Times New Roman"/>
          <w:sz w:val="24"/>
          <w:szCs w:val="24"/>
        </w:rPr>
        <w:t xml:space="preserve"> e em</w:t>
      </w:r>
      <w:r w:rsidR="00DA0256" w:rsidRPr="00757482">
        <w:rPr>
          <w:rFonts w:ascii="Times New Roman" w:eastAsia="Times New Roman" w:hAnsi="Times New Roman" w:cs="Times New Roman"/>
          <w:sz w:val="24"/>
          <w:szCs w:val="24"/>
        </w:rPr>
        <w:t xml:space="preserve"> unidades de terapia intensiva, pior estado funcional, pior estado nutricional e pior prognóstico clínico. Além disso,</w:t>
      </w:r>
      <w:r w:rsidR="00810AB5" w:rsidRPr="00757482">
        <w:rPr>
          <w:rFonts w:ascii="Times New Roman" w:eastAsia="Times New Roman" w:hAnsi="Times New Roman" w:cs="Times New Roman"/>
          <w:sz w:val="24"/>
          <w:szCs w:val="24"/>
        </w:rPr>
        <w:t xml:space="preserve"> dois estudos avaliaram o ângulo de fase em uma população indígena e da etnia africana </w:t>
      </w:r>
      <w:proofErr w:type="spellStart"/>
      <w:r w:rsidR="00810AB5" w:rsidRPr="00757482">
        <w:rPr>
          <w:rFonts w:ascii="Times New Roman" w:eastAsia="Times New Roman" w:hAnsi="Times New Roman" w:cs="Times New Roman"/>
          <w:sz w:val="24"/>
          <w:szCs w:val="24"/>
        </w:rPr>
        <w:t>Fulani</w:t>
      </w:r>
      <w:proofErr w:type="spellEnd"/>
      <w:r w:rsidR="00810AB5" w:rsidRPr="00757482">
        <w:rPr>
          <w:rFonts w:ascii="Times New Roman" w:eastAsia="Times New Roman" w:hAnsi="Times New Roman" w:cs="Times New Roman"/>
          <w:sz w:val="24"/>
          <w:szCs w:val="24"/>
        </w:rPr>
        <w:t xml:space="preserve"> e os valores encontrados são semelhantes aos valores para as populações de referências. </w:t>
      </w:r>
    </w:p>
    <w:p w14:paraId="60094EBB" w14:textId="77777777" w:rsidR="00BD289E" w:rsidRPr="00757482" w:rsidRDefault="00FC4379" w:rsidP="00467B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482">
        <w:rPr>
          <w:rFonts w:ascii="Times New Roman" w:hAnsi="Times New Roman" w:cs="Times New Roman"/>
          <w:b/>
          <w:sz w:val="24"/>
          <w:szCs w:val="24"/>
        </w:rPr>
        <w:t>CONCLUSÃO</w:t>
      </w:r>
    </w:p>
    <w:p w14:paraId="3D2141B7" w14:textId="7FCFC018" w:rsidR="00BD289E" w:rsidRPr="00757482" w:rsidRDefault="00BD289E" w:rsidP="00467B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482">
        <w:rPr>
          <w:rFonts w:ascii="Times New Roman" w:eastAsia="Times New Roman" w:hAnsi="Times New Roman" w:cs="Times New Roman"/>
          <w:sz w:val="24"/>
          <w:szCs w:val="24"/>
        </w:rPr>
        <w:t xml:space="preserve">O ângulo de fase derivado da análise de bioimpedância elétrica é uma ferramenta útil para avaliação do estado nutricional independente da etnia e pode ser utilizado como indicador do prognóstico em diversas doenças em pediatria. A utilização deste exame pode dar mais subsídio aos profissionais de saúde para rastreamento de desvios nutricionais, diagnóstico, acompanhamento da evolução clínica e assim possibilitar um melhor cuidado ao assistido. </w:t>
      </w:r>
    </w:p>
    <w:p w14:paraId="4B9385AE" w14:textId="7958462F" w:rsidR="00704B11" w:rsidRPr="00757482" w:rsidRDefault="00FC4379" w:rsidP="00467B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482">
        <w:rPr>
          <w:rFonts w:ascii="Times New Roman" w:hAnsi="Times New Roman" w:cs="Times New Roman"/>
          <w:b/>
          <w:sz w:val="24"/>
          <w:szCs w:val="24"/>
        </w:rPr>
        <w:t>PALAVRAS-CHAVE</w:t>
      </w:r>
      <w:r w:rsidR="00704B11" w:rsidRPr="00757482">
        <w:rPr>
          <w:rFonts w:ascii="Times New Roman" w:hAnsi="Times New Roman" w:cs="Times New Roman"/>
          <w:b/>
          <w:sz w:val="24"/>
          <w:szCs w:val="24"/>
        </w:rPr>
        <w:t>:</w:t>
      </w:r>
      <w:r w:rsidR="00BD289E" w:rsidRPr="007574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1A37" w:rsidRPr="00757482">
        <w:rPr>
          <w:rFonts w:ascii="Times New Roman" w:hAnsi="Times New Roman" w:cs="Times New Roman"/>
          <w:sz w:val="24"/>
          <w:szCs w:val="24"/>
        </w:rPr>
        <w:t>im</w:t>
      </w:r>
      <w:r w:rsidR="00BD289E" w:rsidRPr="00757482">
        <w:rPr>
          <w:rFonts w:ascii="Times New Roman" w:hAnsi="Times New Roman" w:cs="Times New Roman"/>
          <w:sz w:val="24"/>
          <w:szCs w:val="24"/>
        </w:rPr>
        <w:t xml:space="preserve">pedância </w:t>
      </w:r>
      <w:r w:rsidR="00181A37" w:rsidRPr="00757482">
        <w:rPr>
          <w:rFonts w:ascii="Times New Roman" w:hAnsi="Times New Roman" w:cs="Times New Roman"/>
          <w:sz w:val="24"/>
          <w:szCs w:val="24"/>
        </w:rPr>
        <w:t>b</w:t>
      </w:r>
      <w:r w:rsidR="00BD289E" w:rsidRPr="00757482">
        <w:rPr>
          <w:rFonts w:ascii="Times New Roman" w:hAnsi="Times New Roman" w:cs="Times New Roman"/>
          <w:sz w:val="24"/>
          <w:szCs w:val="24"/>
        </w:rPr>
        <w:t>ioelétrica</w:t>
      </w:r>
      <w:r w:rsidR="00181A37" w:rsidRPr="00757482">
        <w:rPr>
          <w:rFonts w:ascii="Times New Roman" w:hAnsi="Times New Roman" w:cs="Times New Roman"/>
          <w:sz w:val="24"/>
          <w:szCs w:val="24"/>
        </w:rPr>
        <w:t>,</w:t>
      </w:r>
      <w:r w:rsidR="00BD289E" w:rsidRPr="00757482">
        <w:rPr>
          <w:rFonts w:ascii="Times New Roman" w:hAnsi="Times New Roman" w:cs="Times New Roman"/>
          <w:sz w:val="24"/>
          <w:szCs w:val="24"/>
        </w:rPr>
        <w:t xml:space="preserve"> </w:t>
      </w:r>
      <w:r w:rsidR="00181A37" w:rsidRPr="00757482">
        <w:rPr>
          <w:rFonts w:ascii="Times New Roman" w:hAnsi="Times New Roman" w:cs="Times New Roman"/>
          <w:sz w:val="24"/>
          <w:szCs w:val="24"/>
        </w:rPr>
        <w:t>a</w:t>
      </w:r>
      <w:r w:rsidR="00BD289E" w:rsidRPr="00757482">
        <w:rPr>
          <w:rFonts w:ascii="Times New Roman" w:hAnsi="Times New Roman" w:cs="Times New Roman"/>
          <w:sz w:val="24"/>
          <w:szCs w:val="24"/>
        </w:rPr>
        <w:t xml:space="preserve">valiação </w:t>
      </w:r>
      <w:r w:rsidR="00181A37" w:rsidRPr="00757482">
        <w:rPr>
          <w:rFonts w:ascii="Times New Roman" w:hAnsi="Times New Roman" w:cs="Times New Roman"/>
          <w:sz w:val="24"/>
          <w:szCs w:val="24"/>
        </w:rPr>
        <w:t>n</w:t>
      </w:r>
      <w:r w:rsidR="00BD289E" w:rsidRPr="00757482">
        <w:rPr>
          <w:rFonts w:ascii="Times New Roman" w:hAnsi="Times New Roman" w:cs="Times New Roman"/>
          <w:sz w:val="24"/>
          <w:szCs w:val="24"/>
        </w:rPr>
        <w:t>utricional</w:t>
      </w:r>
      <w:r w:rsidR="00181A37" w:rsidRPr="00757482">
        <w:rPr>
          <w:rFonts w:ascii="Times New Roman" w:hAnsi="Times New Roman" w:cs="Times New Roman"/>
          <w:sz w:val="24"/>
          <w:szCs w:val="24"/>
        </w:rPr>
        <w:t>,</w:t>
      </w:r>
      <w:r w:rsidR="00BD289E" w:rsidRPr="00757482">
        <w:rPr>
          <w:rFonts w:ascii="Times New Roman" w:hAnsi="Times New Roman" w:cs="Times New Roman"/>
          <w:sz w:val="24"/>
          <w:szCs w:val="24"/>
        </w:rPr>
        <w:t xml:space="preserve"> </w:t>
      </w:r>
      <w:r w:rsidR="00181A37" w:rsidRPr="00757482">
        <w:rPr>
          <w:rFonts w:ascii="Times New Roman" w:hAnsi="Times New Roman" w:cs="Times New Roman"/>
          <w:sz w:val="24"/>
          <w:szCs w:val="24"/>
        </w:rPr>
        <w:t>c</w:t>
      </w:r>
      <w:r w:rsidR="00BD289E" w:rsidRPr="00757482">
        <w:rPr>
          <w:rFonts w:ascii="Times New Roman" w:hAnsi="Times New Roman" w:cs="Times New Roman"/>
          <w:sz w:val="24"/>
          <w:szCs w:val="24"/>
        </w:rPr>
        <w:t>rianças</w:t>
      </w:r>
      <w:r w:rsidR="00181A37" w:rsidRPr="00757482">
        <w:rPr>
          <w:rFonts w:ascii="Times New Roman" w:hAnsi="Times New Roman" w:cs="Times New Roman"/>
          <w:sz w:val="24"/>
          <w:szCs w:val="24"/>
        </w:rPr>
        <w:t>,</w:t>
      </w:r>
      <w:r w:rsidR="00BD289E" w:rsidRPr="00757482">
        <w:rPr>
          <w:rFonts w:ascii="Times New Roman" w:hAnsi="Times New Roman" w:cs="Times New Roman"/>
          <w:sz w:val="24"/>
          <w:szCs w:val="24"/>
        </w:rPr>
        <w:t xml:space="preserve"> </w:t>
      </w:r>
      <w:r w:rsidR="00181A37" w:rsidRPr="00757482">
        <w:rPr>
          <w:rFonts w:ascii="Times New Roman" w:hAnsi="Times New Roman" w:cs="Times New Roman"/>
          <w:sz w:val="24"/>
          <w:szCs w:val="24"/>
        </w:rPr>
        <w:t>a</w:t>
      </w:r>
      <w:r w:rsidR="00BD289E" w:rsidRPr="00757482">
        <w:rPr>
          <w:rFonts w:ascii="Times New Roman" w:hAnsi="Times New Roman" w:cs="Times New Roman"/>
          <w:sz w:val="24"/>
          <w:szCs w:val="24"/>
        </w:rPr>
        <w:t>dolescentes.</w:t>
      </w:r>
    </w:p>
    <w:p w14:paraId="4A331197" w14:textId="162FD13A" w:rsidR="00D57370" w:rsidRDefault="00D57370" w:rsidP="00467B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A6B3F" w14:textId="4A712D2C" w:rsidR="00757482" w:rsidRDefault="00757482" w:rsidP="00467B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ED04A" w14:textId="68E9A8E2" w:rsidR="00757482" w:rsidRDefault="00757482" w:rsidP="00467B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0C5A2" w14:textId="77777777" w:rsidR="00757482" w:rsidRPr="00757482" w:rsidRDefault="00757482" w:rsidP="00467B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A4460" w14:textId="29CC11D9" w:rsidR="000F3C6F" w:rsidRPr="00757482" w:rsidRDefault="000F3C6F" w:rsidP="00467B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482"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14:paraId="31D4D7F9" w14:textId="77777777" w:rsidR="00BD289E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eastAsia="Times New Roman" w:hAnsi="Times New Roman" w:cs="Times New Roman"/>
          <w:b/>
          <w:sz w:val="24"/>
          <w:szCs w:val="24"/>
        </w:rPr>
        <w:fldChar w:fldCharType="begin" w:fldLock="1"/>
      </w:r>
      <w:r w:rsidRPr="00757482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ADDIN Mendeley Bibliography CSL_BIBLIOGRAPHY </w:instrText>
      </w:r>
      <w:r w:rsidRPr="00757482"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BARUFALDI, L. A. et al. Bioelectrical impedance values among indigenous children and adolescents in Rio Grande do Sul, Brazil. </w:t>
      </w:r>
      <w:r w:rsidRPr="00757482">
        <w:rPr>
          <w:rFonts w:ascii="Times New Roman" w:hAnsi="Times New Roman" w:cs="Times New Roman"/>
          <w:b/>
          <w:bCs/>
          <w:noProof/>
          <w:sz w:val="24"/>
          <w:szCs w:val="24"/>
        </w:rPr>
        <w:t>Revista panamericana de salud publica = Pan American journal of public health</w:t>
      </w: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, v. 30, n. 1, p. 39–45, 2011. </w:t>
      </w:r>
    </w:p>
    <w:p w14:paraId="4D6E4BBD" w14:textId="77777777" w:rsidR="00BD289E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eastAsia="Times New Roman" w:hAnsi="Times New Roman" w:cs="Times New Roman"/>
          <w:sz w:val="24"/>
          <w:szCs w:val="24"/>
        </w:rPr>
        <w:t xml:space="preserve">BAUMGARTNER, R. N.; CHUMLEA, W. C.; ROCHE, A. F. Bioelectric impedance phase angle and body composition. </w:t>
      </w:r>
      <w:r w:rsidRPr="00757482">
        <w:rPr>
          <w:rFonts w:ascii="Times New Roman" w:eastAsia="Times New Roman" w:hAnsi="Times New Roman" w:cs="Times New Roman"/>
          <w:b/>
          <w:sz w:val="24"/>
          <w:szCs w:val="24"/>
        </w:rPr>
        <w:t>The American Journal of Clinical Nutrition</w:t>
      </w:r>
      <w:r w:rsidRPr="00757482">
        <w:rPr>
          <w:rFonts w:ascii="Times New Roman" w:eastAsia="Times New Roman" w:hAnsi="Times New Roman" w:cs="Times New Roman"/>
          <w:sz w:val="24"/>
          <w:szCs w:val="24"/>
        </w:rPr>
        <w:t>, v. 48, n. 1, p. 16-23, 1988</w:t>
      </w:r>
    </w:p>
    <w:p w14:paraId="1B5C7B29" w14:textId="77777777" w:rsidR="00BD289E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BOSY-WESTPHAL, A. et al. Phase Angle From Bioelectrical Impedance Analysis: Population Reference Values by Age, Sex, and Body Mass Index. </w:t>
      </w:r>
      <w:r w:rsidRPr="00757482">
        <w:rPr>
          <w:rFonts w:ascii="Times New Roman" w:hAnsi="Times New Roman" w:cs="Times New Roman"/>
          <w:b/>
          <w:bCs/>
          <w:noProof/>
          <w:sz w:val="24"/>
          <w:szCs w:val="24"/>
        </w:rPr>
        <w:t>Journal of Parenteral and Enteral Nutrition</w:t>
      </w: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, v. 30, n. 4, p. 309–316, 2006. </w:t>
      </w:r>
    </w:p>
    <w:p w14:paraId="45EDA425" w14:textId="77777777" w:rsidR="00BD289E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eastAsia="Times New Roman" w:hAnsi="Times New Roman" w:cs="Times New Roman"/>
          <w:sz w:val="24"/>
          <w:szCs w:val="24"/>
        </w:rPr>
        <w:t xml:space="preserve">CASTRO, K. et al. Body composition of patients with autismo spectrum disorder throught bioelectrical impedance. </w:t>
      </w:r>
      <w:r w:rsidRPr="00757482">
        <w:rPr>
          <w:rFonts w:ascii="Times New Roman" w:eastAsia="Times New Roman" w:hAnsi="Times New Roman" w:cs="Times New Roman"/>
          <w:b/>
          <w:sz w:val="24"/>
          <w:szCs w:val="24"/>
        </w:rPr>
        <w:t>Nutrición Hospitalaria</w:t>
      </w:r>
      <w:r w:rsidRPr="00757482">
        <w:rPr>
          <w:rFonts w:ascii="Times New Roman" w:eastAsia="Times New Roman" w:hAnsi="Times New Roman" w:cs="Times New Roman"/>
          <w:sz w:val="24"/>
          <w:szCs w:val="24"/>
        </w:rPr>
        <w:t>, v. 34, n. 4, p. 875-879, 2017</w:t>
      </w:r>
    </w:p>
    <w:p w14:paraId="48BEE786" w14:textId="77777777" w:rsidR="00BD289E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GIRMA, T. et al. Biochemical and anthropometric correlates of bio-electrical impedance parameters in severely malnourished children: A cross-sectional study. </w:t>
      </w:r>
      <w:r w:rsidRPr="00757482">
        <w:rPr>
          <w:rFonts w:ascii="Times New Roman" w:hAnsi="Times New Roman" w:cs="Times New Roman"/>
          <w:b/>
          <w:bCs/>
          <w:noProof/>
          <w:sz w:val="24"/>
          <w:szCs w:val="24"/>
        </w:rPr>
        <w:t>Clinical Nutrition</w:t>
      </w: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, v. 37, n. 2, p. 701–705, 2018. </w:t>
      </w:r>
    </w:p>
    <w:p w14:paraId="5EC4CF7A" w14:textId="77777777" w:rsidR="00BD289E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GLEW, R. H. et al. Survey of the growth characteristics and body composition of Fulani children in a rural Hamlet in Northern Nigeria. </w:t>
      </w:r>
      <w:r w:rsidRPr="00757482">
        <w:rPr>
          <w:rFonts w:ascii="Times New Roman" w:hAnsi="Times New Roman" w:cs="Times New Roman"/>
          <w:b/>
          <w:bCs/>
          <w:noProof/>
          <w:sz w:val="24"/>
          <w:szCs w:val="24"/>
        </w:rPr>
        <w:t>Journal of Tropical Pediatrics</w:t>
      </w: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, v. 49, n. 5, p. 313–322, 2003. </w:t>
      </w:r>
    </w:p>
    <w:p w14:paraId="3F586651" w14:textId="77777777" w:rsidR="00BD289E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KYLE, U. G. et al. Bioelectrical impedance analysis - Part I: Review of principles and methods. </w:t>
      </w:r>
      <w:r w:rsidRPr="00757482">
        <w:rPr>
          <w:rFonts w:ascii="Times New Roman" w:hAnsi="Times New Roman" w:cs="Times New Roman"/>
          <w:b/>
          <w:bCs/>
          <w:noProof/>
          <w:sz w:val="24"/>
          <w:szCs w:val="24"/>
        </w:rPr>
        <w:t>Clinical Nutrition</w:t>
      </w: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, v. 23, n. 5, p. 1226–1243, 2004. </w:t>
      </w:r>
    </w:p>
    <w:p w14:paraId="3D5A19F4" w14:textId="77777777" w:rsidR="00BD289E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MARINO, L. V. et al. Bioimpedance spectroscopy measurements of phase angle and height for age are predictive of outcome in children following surgery for congenital heart disease. </w:t>
      </w:r>
      <w:r w:rsidRPr="00757482">
        <w:rPr>
          <w:rFonts w:ascii="Times New Roman" w:hAnsi="Times New Roman" w:cs="Times New Roman"/>
          <w:b/>
          <w:bCs/>
          <w:noProof/>
          <w:sz w:val="24"/>
          <w:szCs w:val="24"/>
        </w:rPr>
        <w:t>Clinical Nutrition</w:t>
      </w: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, v. 37, n. 4, p. 1430–1436, 2018. </w:t>
      </w:r>
    </w:p>
    <w:p w14:paraId="44A26807" w14:textId="6C962FCF" w:rsidR="00BD289E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MARINO, L. V.; GRIKSAITIS, M. J.; PAPPACHAN, J. V. Preoperative bioelectrical impedance predicts intensive care length of stay in children following cardiac surgery. </w:t>
      </w:r>
      <w:r w:rsidRPr="00757482">
        <w:rPr>
          <w:rFonts w:ascii="Times New Roman" w:hAnsi="Times New Roman" w:cs="Times New Roman"/>
          <w:b/>
          <w:bCs/>
          <w:noProof/>
          <w:sz w:val="24"/>
          <w:szCs w:val="24"/>
        </w:rPr>
        <w:t>Cardiology in the Young</w:t>
      </w: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, v. 28, n. 5, p. 779–782, 2018. </w:t>
      </w:r>
    </w:p>
    <w:p w14:paraId="58B4FD47" w14:textId="1E0CBCC3" w:rsidR="009B220C" w:rsidRPr="00757482" w:rsidRDefault="009B220C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MARTINS, P. C.; LIMA, L. R. A.; SILVA, A. M. et al. Phase angle is associated with the physical fitness of HIV-infected children and adolescents. </w:t>
      </w:r>
      <w:r w:rsidRPr="00757482">
        <w:rPr>
          <w:rFonts w:ascii="Times New Roman" w:hAnsi="Times New Roman" w:cs="Times New Roman"/>
          <w:b/>
          <w:noProof/>
          <w:sz w:val="24"/>
          <w:szCs w:val="24"/>
        </w:rPr>
        <w:t>Scandinavian Journal of Medicine &amp; Science in Sports</w:t>
      </w:r>
      <w:r w:rsidRPr="00757482">
        <w:rPr>
          <w:rFonts w:ascii="Times New Roman" w:hAnsi="Times New Roman" w:cs="Times New Roman"/>
          <w:noProof/>
          <w:sz w:val="24"/>
          <w:szCs w:val="24"/>
        </w:rPr>
        <w:t>, 2019.</w:t>
      </w:r>
    </w:p>
    <w:p w14:paraId="257DABD6" w14:textId="77777777" w:rsidR="00BD289E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NAGANO, B. M. et al. The validity of bioelectrical impedance phase angle for nutritional assessment in children. </w:t>
      </w:r>
      <w:r w:rsidRPr="00757482">
        <w:rPr>
          <w:rFonts w:ascii="Times New Roman" w:hAnsi="Times New Roman" w:cs="Times New Roman"/>
          <w:b/>
          <w:bCs/>
          <w:noProof/>
          <w:sz w:val="24"/>
          <w:szCs w:val="24"/>
        </w:rPr>
        <w:t>Journal of Pediatric Surgery</w:t>
      </w: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, v. 35, n. 7, p. 1035–1039, 2000. </w:t>
      </w:r>
    </w:p>
    <w:p w14:paraId="6135FBAB" w14:textId="77777777" w:rsidR="00BD289E" w:rsidRPr="00757482" w:rsidRDefault="00BD289E" w:rsidP="00467B2D">
      <w:pPr>
        <w:pStyle w:val="NormalWeb"/>
        <w:spacing w:before="0" w:beforeAutospacing="0" w:after="240" w:afterAutospacing="0" w:line="360" w:lineRule="auto"/>
        <w:jc w:val="both"/>
        <w:rPr>
          <w:noProof/>
        </w:rPr>
      </w:pPr>
      <w:r w:rsidRPr="00757482">
        <w:rPr>
          <w:color w:val="000000"/>
        </w:rPr>
        <w:t xml:space="preserve">PICCOLI A., ROSSI B., PILLON L., BUCCIANTE G. A new method for monitoring body fluid variation by bioimpedance analysis: the RXc graph. </w:t>
      </w:r>
      <w:r w:rsidRPr="00757482">
        <w:rPr>
          <w:b/>
          <w:bCs/>
          <w:color w:val="000000"/>
        </w:rPr>
        <w:t>Kidney Int</w:t>
      </w:r>
      <w:r w:rsidRPr="00757482">
        <w:rPr>
          <w:color w:val="000000"/>
        </w:rPr>
        <w:t xml:space="preserve">, v. 46, n. 2, p. 534-539, 1994. </w:t>
      </w:r>
    </w:p>
    <w:p w14:paraId="6F04C189" w14:textId="77777777" w:rsidR="00BD289E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PILEGGI, V. N.; SCALIZE, A. R. H.; CAMELO, J. S. Phase angle and World Health Organization criteria for the assessment of nutritional status in children with osteogenesis imperfecta. </w:t>
      </w:r>
      <w:r w:rsidRPr="00757482">
        <w:rPr>
          <w:rFonts w:ascii="Times New Roman" w:hAnsi="Times New Roman" w:cs="Times New Roman"/>
          <w:b/>
          <w:bCs/>
          <w:noProof/>
          <w:sz w:val="24"/>
          <w:szCs w:val="24"/>
        </w:rPr>
        <w:t>Revista Paulista de Pediatria</w:t>
      </w: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, v. 34, n. 4, p. 484–488, 2015. </w:t>
      </w:r>
    </w:p>
    <w:p w14:paraId="24818C9F" w14:textId="77777777" w:rsidR="00BD289E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RINNINELLA, E. et al. Clinical tools to assess nutritional risk and malnutrition in hospitalized children and adolescents. </w:t>
      </w:r>
      <w:r w:rsidRPr="00757482">
        <w:rPr>
          <w:rFonts w:ascii="Times New Roman" w:hAnsi="Times New Roman" w:cs="Times New Roman"/>
          <w:b/>
          <w:bCs/>
          <w:noProof/>
          <w:sz w:val="24"/>
          <w:szCs w:val="24"/>
        </w:rPr>
        <w:t>European Review for Medical and Pharmacological Sciences</w:t>
      </w: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, v. 21, p. 2690–2701, 2017. </w:t>
      </w:r>
    </w:p>
    <w:p w14:paraId="18FC8050" w14:textId="77777777" w:rsidR="00BD289E" w:rsidRPr="00757482" w:rsidRDefault="00BD289E" w:rsidP="00467B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482">
        <w:rPr>
          <w:rFonts w:ascii="Times New Roman" w:eastAsia="Times New Roman" w:hAnsi="Times New Roman" w:cs="Times New Roman"/>
          <w:sz w:val="24"/>
          <w:szCs w:val="24"/>
        </w:rPr>
        <w:t xml:space="preserve">SOCIEDADE BRASILEIRA DE PEDIATRIA. </w:t>
      </w:r>
      <w:r w:rsidRPr="00757482">
        <w:rPr>
          <w:rFonts w:ascii="Times New Roman" w:eastAsia="Times New Roman" w:hAnsi="Times New Roman" w:cs="Times New Roman"/>
          <w:b/>
          <w:sz w:val="24"/>
          <w:szCs w:val="24"/>
        </w:rPr>
        <w:t>Avaliação nutricional da criança e do adolescente – Manual de orientação.</w:t>
      </w:r>
      <w:r w:rsidRPr="00757482">
        <w:rPr>
          <w:rFonts w:ascii="Times New Roman" w:eastAsia="Times New Roman" w:hAnsi="Times New Roman" w:cs="Times New Roman"/>
          <w:sz w:val="24"/>
          <w:szCs w:val="24"/>
        </w:rPr>
        <w:t xml:space="preserve"> São Paulo: Sociedade Brasileira de Pediatria, 2009. </w:t>
      </w:r>
    </w:p>
    <w:p w14:paraId="29D33AA8" w14:textId="77777777" w:rsidR="00BD289E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VANDERJAGT, D. J. et al. Bioelectrical impedance analysis of the body composition of children and adolescents with sickle cell disease. </w:t>
      </w:r>
      <w:r w:rsidRPr="00757482">
        <w:rPr>
          <w:rFonts w:ascii="Times New Roman" w:hAnsi="Times New Roman" w:cs="Times New Roman"/>
          <w:b/>
          <w:bCs/>
          <w:noProof/>
          <w:sz w:val="24"/>
          <w:szCs w:val="24"/>
        </w:rPr>
        <w:t>Journal of Pediatrics</w:t>
      </w: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, v. 140, n. 6, p. 681–687, 2002. </w:t>
      </w:r>
    </w:p>
    <w:p w14:paraId="277DFE59" w14:textId="77777777" w:rsidR="00BD289E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WERKSTETTER, K. J. et al. Lean body mass, physical activity and quality of life in paediatric patients with inflammatory bowel disease and in healthy controls. </w:t>
      </w:r>
      <w:r w:rsidRPr="00757482">
        <w:rPr>
          <w:rFonts w:ascii="Times New Roman" w:hAnsi="Times New Roman" w:cs="Times New Roman"/>
          <w:b/>
          <w:bCs/>
          <w:noProof/>
          <w:sz w:val="24"/>
          <w:szCs w:val="24"/>
        </w:rPr>
        <w:t>Journal of Crohn’s and Colitis</w:t>
      </w: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, v. 6, n. 6, p. 665–673, 2012. </w:t>
      </w:r>
    </w:p>
    <w:p w14:paraId="27936277" w14:textId="77777777" w:rsidR="00BD289E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WIĘCH, P. et al. Bioelectrical impedance phase angle as an indicator of malnutrition in hospitalized children with diagnosed inflammatory bowel diseases—a case control study. </w:t>
      </w:r>
      <w:r w:rsidRPr="00757482">
        <w:rPr>
          <w:rFonts w:ascii="Times New Roman" w:hAnsi="Times New Roman" w:cs="Times New Roman"/>
          <w:b/>
          <w:bCs/>
          <w:noProof/>
          <w:sz w:val="24"/>
          <w:szCs w:val="24"/>
        </w:rPr>
        <w:t>Nutrients</w:t>
      </w: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, v. 10, n. 4, 2018. </w:t>
      </w:r>
    </w:p>
    <w:p w14:paraId="6BDB00A4" w14:textId="5F281790" w:rsidR="008D7368" w:rsidRPr="00757482" w:rsidRDefault="00BD289E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  <w:r w:rsidR="008D7368" w:rsidRPr="00757482">
        <w:rPr>
          <w:rFonts w:ascii="Times New Roman" w:hAnsi="Times New Roman" w:cs="Times New Roman"/>
          <w:noProof/>
          <w:sz w:val="24"/>
          <w:szCs w:val="24"/>
        </w:rPr>
        <w:t xml:space="preserve">WIĘCH, P. et al. Body composition and phase angle as na indicator of nutritional status in children with juvenile idiopathic arthritis. </w:t>
      </w:r>
      <w:r w:rsidR="008D7368" w:rsidRPr="00757482">
        <w:rPr>
          <w:rFonts w:ascii="Times New Roman" w:hAnsi="Times New Roman" w:cs="Times New Roman"/>
          <w:b/>
          <w:bCs/>
          <w:noProof/>
          <w:sz w:val="24"/>
          <w:szCs w:val="24"/>
        </w:rPr>
        <w:t>Pediatric Rheumatology Online Journal</w:t>
      </w:r>
      <w:r w:rsidR="008D7368" w:rsidRPr="00757482">
        <w:rPr>
          <w:rFonts w:ascii="Times New Roman" w:hAnsi="Times New Roman" w:cs="Times New Roman"/>
          <w:noProof/>
          <w:sz w:val="24"/>
          <w:szCs w:val="24"/>
        </w:rPr>
        <w:t xml:space="preserve">, v. 16, n. 1, 2018. </w:t>
      </w:r>
    </w:p>
    <w:p w14:paraId="201CD1D8" w14:textId="0C9898D9" w:rsidR="008D7368" w:rsidRPr="00757482" w:rsidRDefault="008D7368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WIĘCH, P. et al. Decreased bioelectrical impedance phase angle in hospitalized children and adolescents with newly diagnosed type 1 diabetes: a case-control study. </w:t>
      </w:r>
      <w:r w:rsidRPr="00757482">
        <w:rPr>
          <w:rFonts w:ascii="Times New Roman" w:hAnsi="Times New Roman" w:cs="Times New Roman"/>
          <w:b/>
          <w:bCs/>
          <w:noProof/>
          <w:sz w:val="24"/>
          <w:szCs w:val="24"/>
        </w:rPr>
        <w:t>Journal of Clinical Medicine</w:t>
      </w:r>
      <w:r w:rsidRPr="00757482">
        <w:rPr>
          <w:rFonts w:ascii="Times New Roman" w:hAnsi="Times New Roman" w:cs="Times New Roman"/>
          <w:noProof/>
          <w:sz w:val="24"/>
          <w:szCs w:val="24"/>
        </w:rPr>
        <w:t>, v. 7, n. 12, 2018.</w:t>
      </w:r>
    </w:p>
    <w:p w14:paraId="552C71BB" w14:textId="684BD941" w:rsidR="008D7368" w:rsidRPr="00757482" w:rsidRDefault="008D7368" w:rsidP="00467B2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57482">
        <w:rPr>
          <w:rFonts w:ascii="Times New Roman" w:hAnsi="Times New Roman" w:cs="Times New Roman"/>
          <w:noProof/>
          <w:sz w:val="24"/>
          <w:szCs w:val="24"/>
        </w:rPr>
        <w:t xml:space="preserve">ZAMBERLAN, P. et al. Bioelectrical impedance phase angle and mobidity and mortality in critically III children. </w:t>
      </w:r>
      <w:r w:rsidRPr="00757482">
        <w:rPr>
          <w:rFonts w:ascii="Times New Roman" w:hAnsi="Times New Roman" w:cs="Times New Roman"/>
          <w:b/>
          <w:noProof/>
          <w:sz w:val="24"/>
          <w:szCs w:val="24"/>
        </w:rPr>
        <w:t>Nutrition in Crinical Practice</w:t>
      </w:r>
      <w:r w:rsidRPr="00757482">
        <w:rPr>
          <w:rFonts w:ascii="Times New Roman" w:hAnsi="Times New Roman" w:cs="Times New Roman"/>
          <w:noProof/>
          <w:sz w:val="24"/>
          <w:szCs w:val="24"/>
        </w:rPr>
        <w:t>, v. 34, n. 1, p. 163-171, 2019,</w:t>
      </w:r>
    </w:p>
    <w:p w14:paraId="3AC70600" w14:textId="70863A92" w:rsidR="00DB3469" w:rsidRPr="00757482" w:rsidRDefault="00DB3469" w:rsidP="00467B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B3469" w:rsidRPr="00757482" w:rsidSect="00A16EE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EE7"/>
    <w:rsid w:val="00035029"/>
    <w:rsid w:val="000B30A6"/>
    <w:rsid w:val="000F3C6F"/>
    <w:rsid w:val="00116378"/>
    <w:rsid w:val="00181A37"/>
    <w:rsid w:val="001D33CA"/>
    <w:rsid w:val="001E5858"/>
    <w:rsid w:val="001E7779"/>
    <w:rsid w:val="001F6F53"/>
    <w:rsid w:val="00295CEC"/>
    <w:rsid w:val="00301AEC"/>
    <w:rsid w:val="0033415A"/>
    <w:rsid w:val="0035289A"/>
    <w:rsid w:val="003B27EE"/>
    <w:rsid w:val="00423965"/>
    <w:rsid w:val="00452739"/>
    <w:rsid w:val="00461206"/>
    <w:rsid w:val="00467B2D"/>
    <w:rsid w:val="004D1C30"/>
    <w:rsid w:val="005229F1"/>
    <w:rsid w:val="005D11A2"/>
    <w:rsid w:val="005F1585"/>
    <w:rsid w:val="006633C7"/>
    <w:rsid w:val="00684832"/>
    <w:rsid w:val="006C3CC3"/>
    <w:rsid w:val="00704B11"/>
    <w:rsid w:val="00757482"/>
    <w:rsid w:val="007C1B0C"/>
    <w:rsid w:val="00801301"/>
    <w:rsid w:val="00804006"/>
    <w:rsid w:val="00810AB5"/>
    <w:rsid w:val="008540DC"/>
    <w:rsid w:val="008737F5"/>
    <w:rsid w:val="008874FC"/>
    <w:rsid w:val="008B172A"/>
    <w:rsid w:val="008C21A7"/>
    <w:rsid w:val="008D7368"/>
    <w:rsid w:val="008F3A6B"/>
    <w:rsid w:val="009324ED"/>
    <w:rsid w:val="00961226"/>
    <w:rsid w:val="009B220C"/>
    <w:rsid w:val="009C32A2"/>
    <w:rsid w:val="00A05CFC"/>
    <w:rsid w:val="00A16EE7"/>
    <w:rsid w:val="00A33F18"/>
    <w:rsid w:val="00AB21B2"/>
    <w:rsid w:val="00B00BF9"/>
    <w:rsid w:val="00B11EAC"/>
    <w:rsid w:val="00B151DF"/>
    <w:rsid w:val="00BD289E"/>
    <w:rsid w:val="00BD6FF9"/>
    <w:rsid w:val="00BE16F9"/>
    <w:rsid w:val="00C12D2B"/>
    <w:rsid w:val="00C410BD"/>
    <w:rsid w:val="00C64748"/>
    <w:rsid w:val="00CA2661"/>
    <w:rsid w:val="00CA7735"/>
    <w:rsid w:val="00CE2E5A"/>
    <w:rsid w:val="00CF1D53"/>
    <w:rsid w:val="00D14121"/>
    <w:rsid w:val="00D200E3"/>
    <w:rsid w:val="00D40ADE"/>
    <w:rsid w:val="00D57370"/>
    <w:rsid w:val="00D96B75"/>
    <w:rsid w:val="00DA0256"/>
    <w:rsid w:val="00DB3469"/>
    <w:rsid w:val="00E068C9"/>
    <w:rsid w:val="00E23C78"/>
    <w:rsid w:val="00E91F1B"/>
    <w:rsid w:val="00EE2447"/>
    <w:rsid w:val="00EF0C2C"/>
    <w:rsid w:val="00EF67DD"/>
    <w:rsid w:val="00F019F7"/>
    <w:rsid w:val="00FC4379"/>
    <w:rsid w:val="00FC6F41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A9F1"/>
  <w15:chartTrackingRefBased/>
  <w15:docId w15:val="{0B70697C-5941-40E5-B65C-3BFC3809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1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0130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C32A2"/>
    <w:rPr>
      <w:i/>
      <w:iCs/>
    </w:rPr>
  </w:style>
  <w:style w:type="character" w:customStyle="1" w:styleId="ref-title">
    <w:name w:val="ref-title"/>
    <w:basedOn w:val="Fontepargpadro"/>
    <w:rsid w:val="009C32A2"/>
  </w:style>
  <w:style w:type="character" w:customStyle="1" w:styleId="ref-journal">
    <w:name w:val="ref-journal"/>
    <w:basedOn w:val="Fontepargpadro"/>
    <w:rsid w:val="009C32A2"/>
  </w:style>
  <w:style w:type="character" w:customStyle="1" w:styleId="ref-vol">
    <w:name w:val="ref-vol"/>
    <w:basedOn w:val="Fontepargpadro"/>
    <w:rsid w:val="009C32A2"/>
  </w:style>
  <w:style w:type="character" w:customStyle="1" w:styleId="nowrap">
    <w:name w:val="nowrap"/>
    <w:basedOn w:val="Fontepargpadro"/>
    <w:rsid w:val="009C32A2"/>
  </w:style>
  <w:style w:type="character" w:customStyle="1" w:styleId="highlight">
    <w:name w:val="highlight"/>
    <w:basedOn w:val="Fontepargpadro"/>
    <w:rsid w:val="009C32A2"/>
  </w:style>
  <w:style w:type="character" w:customStyle="1" w:styleId="Ttulo1Char">
    <w:name w:val="Título 1 Char"/>
    <w:basedOn w:val="Fontepargpadro"/>
    <w:link w:val="Ttulo1"/>
    <w:uiPriority w:val="9"/>
    <w:rsid w:val="007C1B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it">
    <w:name w:val="cit"/>
    <w:basedOn w:val="Fontepargpadro"/>
    <w:rsid w:val="007C1B0C"/>
  </w:style>
  <w:style w:type="character" w:customStyle="1" w:styleId="fm-vol-iss-date">
    <w:name w:val="fm-vol-iss-date"/>
    <w:basedOn w:val="Fontepargpadro"/>
    <w:rsid w:val="007C1B0C"/>
  </w:style>
  <w:style w:type="character" w:customStyle="1" w:styleId="doi">
    <w:name w:val="doi"/>
    <w:basedOn w:val="Fontepargpadro"/>
    <w:rsid w:val="007C1B0C"/>
  </w:style>
  <w:style w:type="character" w:customStyle="1" w:styleId="fm-citation-ids-label">
    <w:name w:val="fm-citation-ids-label"/>
    <w:basedOn w:val="Fontepargpadro"/>
    <w:rsid w:val="007C1B0C"/>
  </w:style>
  <w:style w:type="paragraph" w:styleId="Textodebalo">
    <w:name w:val="Balloon Text"/>
    <w:basedOn w:val="Normal"/>
    <w:link w:val="TextodebaloChar"/>
    <w:uiPriority w:val="99"/>
    <w:semiHidden/>
    <w:unhideWhenUsed/>
    <w:rsid w:val="00961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1226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96122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12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122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12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122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2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181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6341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51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09716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1259</Words>
  <Characters>6801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Eduardo</dc:creator>
  <cp:keywords/>
  <dc:description/>
  <cp:lastModifiedBy>André Eduardo</cp:lastModifiedBy>
  <cp:revision>5</cp:revision>
  <dcterms:created xsi:type="dcterms:W3CDTF">2019-04-29T02:21:00Z</dcterms:created>
  <dcterms:modified xsi:type="dcterms:W3CDTF">2019-05-01T21:53:00Z</dcterms:modified>
</cp:coreProperties>
</file>