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Á</w:t>
      </w:r>
      <w:r w:rsidDel="00000000" w:rsidR="00000000" w:rsidRPr="00000000">
        <w:rPr>
          <w:rFonts w:ascii="Times New Roman" w:cs="Times New Roman" w:eastAsia="Times New Roman" w:hAnsi="Times New Roman"/>
          <w:b w:val="1"/>
          <w:rtl w:val="0"/>
        </w:rPr>
        <w:t xml:space="preserve">rea Temática: Saúde Coletiva </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PERFIL ANTROPOMÉTRICO E CARACTERÍSTICAS ALIMENTARES DE CRIANÇAS COM PARALISIA CEREBRAL DE UM CENTRO DE REABILITAÇÃO DA CIDADE DO RECIFE</w:t>
      </w:r>
    </w:p>
    <w:p w:rsidR="00000000" w:rsidDel="00000000" w:rsidP="00000000" w:rsidRDefault="00000000" w:rsidRPr="00000000" w14:paraId="00000004">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Patrícia Soares da Silva¹ </w:t>
      </w:r>
    </w:p>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Fabiana Cristina Lima da Silva Pastich Gonçalves²</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Pernambuco - UFPE. Recife, Pernambuco, Brasil.</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Introdução: </w:t>
      </w:r>
      <w:r w:rsidDel="00000000" w:rsidR="00000000" w:rsidRPr="00000000">
        <w:rPr>
          <w:rFonts w:ascii="Times New Roman" w:cs="Times New Roman" w:eastAsia="Times New Roman" w:hAnsi="Times New Roman"/>
          <w:sz w:val="24"/>
          <w:szCs w:val="24"/>
          <w:rtl w:val="0"/>
        </w:rPr>
        <w:t xml:space="preserve">A Paralisia Cerebral é um agrupamento de distúrbios cerebrais, não progressivos, que ocorrem devido à uma lesão no sistema nervoso central durante os períodos do desenvolvimento. As crianças portadoras de PC podem apresentar comprometimento cognitivo e muscular, resultando em dificuldades alimentares que contribuem para desequilíbrios nutricionais.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Objetivo</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 objetivo do presente estudo foi analisar o perfil antropométrico das crianças com paralisia cerebral e as características alimentares apresentadas por elas.</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Métodos:</w:t>
      </w:r>
      <w:r w:rsidDel="00000000" w:rsidR="00000000" w:rsidRPr="00000000">
        <w:rPr>
          <w:rFonts w:ascii="Times New Roman" w:cs="Times New Roman" w:eastAsia="Times New Roman" w:hAnsi="Times New Roman"/>
          <w:sz w:val="24"/>
          <w:szCs w:val="24"/>
          <w:highlight w:val="white"/>
          <w:rtl w:val="0"/>
        </w:rPr>
        <w:t xml:space="preserve"> Realizou-se um estudo transversal com 35 crianças portadoras de paralisia cerebral, com idade entre 3 e 14 anos, integrantes do </w:t>
      </w:r>
      <w:r w:rsidDel="00000000" w:rsidR="00000000" w:rsidRPr="00000000">
        <w:rPr>
          <w:rFonts w:ascii="Times New Roman" w:cs="Times New Roman" w:eastAsia="Times New Roman" w:hAnsi="Times New Roman"/>
          <w:sz w:val="24"/>
          <w:szCs w:val="24"/>
          <w:rtl w:val="0"/>
        </w:rPr>
        <w:t xml:space="preserve">Grupo Universitário de Reabilitação Infantil (GURI), localizado no bairro de Afogados, no município de Recife/PE</w:t>
      </w:r>
      <w:r w:rsidDel="00000000" w:rsidR="00000000" w:rsidRPr="00000000">
        <w:rPr>
          <w:rFonts w:ascii="Times New Roman" w:cs="Times New Roman" w:eastAsia="Times New Roman" w:hAnsi="Times New Roman"/>
          <w:sz w:val="24"/>
          <w:szCs w:val="24"/>
          <w:highlight w:val="white"/>
          <w:rtl w:val="0"/>
        </w:rPr>
        <w:t xml:space="preserve">. Foram coletados dados antropométricos de peso e altura, posteriormente calculou-se o Índice de Massa Corporal pela idade e aplicou-se um questionário semi-estruturado aos responsáveis sobre as características alimentares apresentadas pelas crianças, contendo informações sobre a </w:t>
      </w:r>
      <w:r w:rsidDel="00000000" w:rsidR="00000000" w:rsidRPr="00000000">
        <w:rPr>
          <w:rFonts w:ascii="Times New Roman" w:cs="Times New Roman" w:eastAsia="Times New Roman" w:hAnsi="Times New Roman"/>
          <w:sz w:val="24"/>
          <w:szCs w:val="24"/>
          <w:rtl w:val="0"/>
        </w:rPr>
        <w:t xml:space="preserve">via de alimentação, a capacidade de se alimentar sozinho, a dificuldade da alimentação por via oral, o número de refeições por dia e o tempo de alimentação por refeição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Resultados:</w:t>
      </w:r>
      <w:r w:rsidDel="00000000" w:rsidR="00000000" w:rsidRPr="00000000">
        <w:rPr>
          <w:rFonts w:ascii="Times New Roman" w:cs="Times New Roman" w:eastAsia="Times New Roman" w:hAnsi="Times New Roman"/>
          <w:sz w:val="24"/>
          <w:szCs w:val="24"/>
          <w:highlight w:val="white"/>
          <w:rtl w:val="0"/>
        </w:rPr>
        <w:t xml:space="preserve"> Demonstrou-se eutrofia em 45,71% (16) das crianças, baixo peso em 25,71% (9) e excesso de peso em 28,57% (10) da amostra. Entre as características alimentares 97,2% (35) se alimentam por via oral, 58,3%% (21) não são capazes de comer sozinhos, além disso 52,8% (19) apresentam alguma dificuldade para se alimentar por via oral. Foi verificado que 60% (21) consomem mais de 4 refeições por dia e 82,85% (29) levam menos de 30 minutos para concluir uma refeição.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Conclusão:</w:t>
      </w:r>
      <w:r w:rsidDel="00000000" w:rsidR="00000000" w:rsidRPr="00000000">
        <w:rPr>
          <w:rFonts w:ascii="Times New Roman" w:cs="Times New Roman" w:eastAsia="Times New Roman" w:hAnsi="Times New Roman"/>
          <w:sz w:val="24"/>
          <w:szCs w:val="24"/>
          <w:highlight w:val="white"/>
          <w:rtl w:val="0"/>
        </w:rPr>
        <w:t xml:space="preserve"> Os resultados indicam que ainda há  uma incidência significante de desnutrição entre as crianças com paralisia cerebral, podendo estar relacionada com as suas características alimentares, uma vez que  grande parte delas apresenta dificuldades durante o processo de alimentação, como disfagia, tosse, refluxo gastroesofágico e mastigação inadequada. Ademais, também foi verificada a incidência do excesso de peso neste grupo populacional, o que pode ter relação com o acometimento muscular e a consequente hipoatividade apresentada por elas. Sabendo-se que o estado nutricional tem forte relação com quadro-clínico e o prognóstico dos pacientes com paralisia cerebral, deve-se dar maior atenção aos cuidados nutricionais dessas crianças.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Palavras-chave: Paralisia Cerebral, Desenvolvimento, Alimentação, Infância.</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DAHLSENG, M.O. et al. Feeding problems, growth and nutritional status in children with cerebral palsy. </w:t>
      </w:r>
      <w:r w:rsidDel="00000000" w:rsidR="00000000" w:rsidRPr="00000000">
        <w:rPr>
          <w:rFonts w:ascii="Times New Roman" w:cs="Times New Roman" w:eastAsia="Times New Roman" w:hAnsi="Times New Roman"/>
          <w:b w:val="1"/>
          <w:sz w:val="24"/>
          <w:szCs w:val="24"/>
          <w:rtl w:val="0"/>
        </w:rPr>
        <w:t xml:space="preserve">Acta Paediatrica, </w:t>
      </w:r>
      <w:r w:rsidDel="00000000" w:rsidR="00000000" w:rsidRPr="00000000">
        <w:rPr>
          <w:rFonts w:ascii="Times New Roman" w:cs="Times New Roman" w:eastAsia="Times New Roman" w:hAnsi="Times New Roman"/>
          <w:sz w:val="24"/>
          <w:szCs w:val="24"/>
          <w:rtl w:val="0"/>
        </w:rPr>
        <w:t xml:space="preserve">v. 101, n.1, p. 92-98, 2012.</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GIBSON, R. S. </w:t>
      </w:r>
      <w:r w:rsidDel="00000000" w:rsidR="00000000" w:rsidRPr="00000000">
        <w:rPr>
          <w:rFonts w:ascii="Times New Roman" w:cs="Times New Roman" w:eastAsia="Times New Roman" w:hAnsi="Times New Roman"/>
          <w:b w:val="1"/>
          <w:sz w:val="24"/>
          <w:szCs w:val="24"/>
          <w:rtl w:val="0"/>
        </w:rPr>
        <w:t xml:space="preserve">Principals of Nutritional Assessment</w:t>
      </w:r>
      <w:r w:rsidDel="00000000" w:rsidR="00000000" w:rsidRPr="00000000">
        <w:rPr>
          <w:rFonts w:ascii="Times New Roman" w:cs="Times New Roman" w:eastAsia="Times New Roman" w:hAnsi="Times New Roman"/>
          <w:sz w:val="24"/>
          <w:szCs w:val="24"/>
          <w:rtl w:val="0"/>
        </w:rPr>
        <w:t xml:space="preserve">. Oxford: Oxford University Press, ed. 2, 2005.</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MANCINI M.C. et al. Gravidade da paralisia cerebral e desempenho funcional. </w:t>
      </w:r>
      <w:r w:rsidDel="00000000" w:rsidR="00000000" w:rsidRPr="00000000">
        <w:rPr>
          <w:rFonts w:ascii="Times New Roman" w:cs="Times New Roman" w:eastAsia="Times New Roman" w:hAnsi="Times New Roman"/>
          <w:b w:val="1"/>
          <w:sz w:val="24"/>
          <w:szCs w:val="24"/>
          <w:rtl w:val="0"/>
        </w:rPr>
        <w:t xml:space="preserve">Revista Brasileira Fisioterapia</w:t>
      </w:r>
      <w:r w:rsidDel="00000000" w:rsidR="00000000" w:rsidRPr="00000000">
        <w:rPr>
          <w:rFonts w:ascii="Times New Roman" w:cs="Times New Roman" w:eastAsia="Times New Roman" w:hAnsi="Times New Roman"/>
          <w:sz w:val="24"/>
          <w:szCs w:val="24"/>
          <w:rtl w:val="0"/>
        </w:rPr>
        <w:t xml:space="preserve">. v. 8, n. 3, p. 253-60, 2004.</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PIOSEVANA A.M. et al. Encefalopatia crônica: paralisia cerebral. In: Fonseca LF, Pianetti G, Xavier CC. </w:t>
      </w:r>
      <w:r w:rsidDel="00000000" w:rsidR="00000000" w:rsidRPr="00000000">
        <w:rPr>
          <w:rFonts w:ascii="Times New Roman" w:cs="Times New Roman" w:eastAsia="Times New Roman" w:hAnsi="Times New Roman"/>
          <w:b w:val="1"/>
          <w:sz w:val="24"/>
          <w:szCs w:val="24"/>
          <w:rtl w:val="0"/>
        </w:rPr>
        <w:t xml:space="preserve">Compêndio de Neurologia Infantil.</w:t>
      </w:r>
      <w:r w:rsidDel="00000000" w:rsidR="00000000" w:rsidRPr="00000000">
        <w:rPr>
          <w:rFonts w:ascii="Times New Roman" w:cs="Times New Roman" w:eastAsia="Times New Roman" w:hAnsi="Times New Roman"/>
          <w:sz w:val="24"/>
          <w:szCs w:val="24"/>
          <w:rtl w:val="0"/>
        </w:rPr>
        <w:t xml:space="preserve"> p. 826-37 Rio de Janeiro: Medsi; 2002.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RATLIFFE, K. T. </w:t>
      </w:r>
      <w:r w:rsidDel="00000000" w:rsidR="00000000" w:rsidRPr="00000000">
        <w:rPr>
          <w:rFonts w:ascii="Times New Roman" w:cs="Times New Roman" w:eastAsia="Times New Roman" w:hAnsi="Times New Roman"/>
          <w:b w:val="1"/>
          <w:sz w:val="24"/>
          <w:szCs w:val="24"/>
          <w:rtl w:val="0"/>
        </w:rPr>
        <w:t xml:space="preserve">Fisioterapia na clinica pediátrica: guia para a equipe de fisioterapeutas</w:t>
      </w:r>
      <w:r w:rsidDel="00000000" w:rsidR="00000000" w:rsidRPr="00000000">
        <w:rPr>
          <w:rFonts w:ascii="Times New Roman" w:cs="Times New Roman" w:eastAsia="Times New Roman" w:hAnsi="Times New Roman"/>
          <w:sz w:val="24"/>
          <w:szCs w:val="24"/>
          <w:rtl w:val="0"/>
        </w:rPr>
        <w:t xml:space="preserve">. São Paulo: Santos, 2000.</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ROGOZINSKI, B.M. et al. Prevalence of obesity in ambulatory children with cerebral palsy. </w:t>
      </w:r>
      <w:r w:rsidDel="00000000" w:rsidR="00000000" w:rsidRPr="00000000">
        <w:rPr>
          <w:rFonts w:ascii="Times New Roman" w:cs="Times New Roman" w:eastAsia="Times New Roman" w:hAnsi="Times New Roman"/>
          <w:b w:val="1"/>
          <w:sz w:val="24"/>
          <w:szCs w:val="24"/>
          <w:rtl w:val="0"/>
        </w:rPr>
        <w:t xml:space="preserve">The Journal of Bone and Joint Surgery,</w:t>
      </w:r>
      <w:r w:rsidDel="00000000" w:rsidR="00000000" w:rsidRPr="00000000">
        <w:rPr>
          <w:rFonts w:ascii="Times New Roman" w:cs="Times New Roman" w:eastAsia="Times New Roman" w:hAnsi="Times New Roman"/>
          <w:sz w:val="24"/>
          <w:szCs w:val="24"/>
          <w:rtl w:val="0"/>
        </w:rPr>
        <w:t xml:space="preserve"> v. 89, n. 11, p. 2421-6, 2007.</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ZANKL, A. Computer-aided Anthropometry in the evaluation of dysmorphic children. </w:t>
      </w:r>
      <w:r w:rsidDel="00000000" w:rsidR="00000000" w:rsidRPr="00000000">
        <w:rPr>
          <w:rFonts w:ascii="Times New Roman" w:cs="Times New Roman" w:eastAsia="Times New Roman" w:hAnsi="Times New Roman"/>
          <w:b w:val="1"/>
          <w:sz w:val="24"/>
          <w:szCs w:val="24"/>
          <w:rtl w:val="0"/>
        </w:rPr>
        <w:t xml:space="preserve">Pediatrics</w:t>
      </w:r>
      <w:r w:rsidDel="00000000" w:rsidR="00000000" w:rsidRPr="00000000">
        <w:rPr>
          <w:rFonts w:ascii="Times New Roman" w:cs="Times New Roman" w:eastAsia="Times New Roman" w:hAnsi="Times New Roman"/>
          <w:sz w:val="24"/>
          <w:szCs w:val="24"/>
          <w:rtl w:val="0"/>
        </w:rPr>
        <w:t xml:space="preserve">, v.114, p.333-336, 2004.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