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993C0B">
      <w:pPr>
        <w:pageBreakBefore/>
        <w:shd w:val="clear" w:color="auto" w:fill="FFFFFF"/>
        <w:autoSpaceDE w:val="0"/>
        <w:jc w:val="center"/>
        <w:rPr>
          <w:rFonts w:ascii="Verdana" w:hAnsi="Verdana" w:cs="Verdana"/>
          <w:b/>
          <w:bCs/>
          <w:color w:val="000000"/>
          <w:sz w:val="22"/>
          <w:szCs w:val="22"/>
        </w:rPr>
      </w:pPr>
      <w:bookmarkStart w:id="0" w:name="_GoBack"/>
      <w:bookmarkEnd w:id="0"/>
      <w:r>
        <w:rPr>
          <w:rFonts w:ascii="Verdana" w:hAnsi="Verdana"/>
          <w:sz w:val="20"/>
          <w:szCs w:val="20"/>
        </w:rPr>
        <w:t>Ficha 1:</w:t>
      </w:r>
      <w:r>
        <w:rPr>
          <w:sz w:val="20"/>
          <w:szCs w:val="20"/>
        </w:rPr>
        <w:t xml:space="preserve"> </w:t>
      </w:r>
      <w:r>
        <w:rPr>
          <w:rFonts w:ascii="Verdana" w:hAnsi="Verdana"/>
          <w:sz w:val="22"/>
          <w:szCs w:val="20"/>
        </w:rPr>
        <w:t>“</w:t>
      </w:r>
      <w:r>
        <w:rPr>
          <w:rFonts w:ascii="Verdana" w:hAnsi="Verdana"/>
          <w:b/>
          <w:sz w:val="22"/>
          <w:szCs w:val="20"/>
        </w:rPr>
        <w:t>E</w:t>
      </w:r>
      <w:r>
        <w:rPr>
          <w:rFonts w:ascii="Verdana" w:hAnsi="Verdana" w:cs="Verdana"/>
          <w:b/>
          <w:bCs/>
          <w:color w:val="000000"/>
          <w:sz w:val="22"/>
          <w:szCs w:val="22"/>
        </w:rPr>
        <w:t>studiando el entorno general de mi idea de  negocio”</w:t>
      </w:r>
    </w:p>
    <w:p w:rsidR="00000000" w:rsidRDefault="00993C0B">
      <w:pPr>
        <w:autoSpaceDE w:val="0"/>
        <w:jc w:val="center"/>
        <w:rPr>
          <w:rFonts w:ascii="Verdana" w:hAnsi="Verdana" w:cs="Verdana"/>
          <w:b/>
          <w:bCs/>
          <w:color w:val="000000"/>
          <w:sz w:val="20"/>
          <w:szCs w:val="22"/>
        </w:rPr>
      </w:pPr>
    </w:p>
    <w:p w:rsidR="00000000" w:rsidRDefault="00993C0B">
      <w:pPr>
        <w:autoSpaceDE w:val="0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Busca información referida a los diferentes componentes del Entorno general y regístrala en un documento para su análisis. </w:t>
      </w:r>
    </w:p>
    <w:p w:rsidR="00000000" w:rsidRDefault="00993C0B">
      <w:pPr>
        <w:autoSpaceDE w:val="0"/>
        <w:rPr>
          <w:rFonts w:ascii="Verdana" w:hAnsi="Verdana" w:cs="Verdana"/>
          <w:color w:val="000000"/>
          <w:sz w:val="20"/>
          <w:szCs w:val="20"/>
        </w:rPr>
      </w:pPr>
    </w:p>
    <w:p w:rsidR="00000000" w:rsidRDefault="00993C0B">
      <w:pPr>
        <w:shd w:val="clear" w:color="auto" w:fill="DBE5F1"/>
        <w:autoSpaceDE w:val="0"/>
        <w:jc w:val="center"/>
        <w:rPr>
          <w:rFonts w:ascii="Verdana" w:hAnsi="Verdana" w:cs="Verdana"/>
          <w:b/>
          <w:color w:val="000000"/>
          <w:sz w:val="20"/>
          <w:szCs w:val="20"/>
        </w:rPr>
      </w:pPr>
      <w:r>
        <w:rPr>
          <w:rFonts w:ascii="Verdana" w:hAnsi="Verdana" w:cs="Verdana"/>
          <w:b/>
          <w:color w:val="000000"/>
          <w:sz w:val="20"/>
          <w:szCs w:val="20"/>
        </w:rPr>
        <w:t>Entorno general</w:t>
      </w:r>
    </w:p>
    <w:p w:rsidR="00000000" w:rsidRDefault="00993C0B">
      <w:pPr>
        <w:autoSpaceDE w:val="0"/>
        <w:jc w:val="center"/>
        <w:rPr>
          <w:rFonts w:ascii="Verdana" w:hAnsi="Verdana" w:cs="Verdana"/>
          <w:b/>
          <w:color w:val="000000"/>
          <w:sz w:val="14"/>
          <w:szCs w:val="20"/>
        </w:rPr>
        <w:sectPr w:rsidR="00000000">
          <w:pgSz w:w="11905" w:h="16837"/>
          <w:pgMar w:top="1134" w:right="1134" w:bottom="1134" w:left="1134" w:header="720" w:footer="720" w:gutter="0"/>
          <w:cols w:space="720"/>
          <w:docGrid w:linePitch="360"/>
        </w:sectPr>
      </w:pPr>
      <w:r>
        <w:rPr>
          <w:rFonts w:ascii="Verdana" w:hAnsi="Verdana" w:cs="Verdana"/>
          <w:b/>
          <w:color w:val="000000"/>
          <w:sz w:val="14"/>
          <w:szCs w:val="20"/>
        </w:rPr>
        <w:t>Posibles factores que pueden afectar al negocio</w:t>
      </w:r>
    </w:p>
    <w:p w:rsidR="00000000" w:rsidRDefault="00993C0B">
      <w:pPr>
        <w:autoSpaceDE w:val="0"/>
        <w:rPr>
          <w:rFonts w:ascii="Verdana" w:hAnsi="Verdana" w:cs="Verdana"/>
          <w:b/>
          <w:color w:val="000000"/>
          <w:sz w:val="20"/>
          <w:szCs w:val="20"/>
        </w:rPr>
      </w:pPr>
    </w:p>
    <w:p w:rsidR="00000000" w:rsidRDefault="00993C0B">
      <w:pPr>
        <w:autoSpaceDE w:val="0"/>
        <w:rPr>
          <w:rFonts w:ascii="Verdana" w:hAnsi="Verdana" w:cs="Verdana"/>
          <w:b/>
          <w:color w:val="000000"/>
          <w:sz w:val="20"/>
          <w:szCs w:val="20"/>
        </w:rPr>
      </w:pPr>
      <w:r>
        <w:rPr>
          <w:rFonts w:ascii="Verdana" w:hAnsi="Verdana" w:cs="Verdana"/>
          <w:b/>
          <w:color w:val="000000"/>
          <w:sz w:val="20"/>
          <w:szCs w:val="20"/>
        </w:rPr>
        <w:t>A</w:t>
      </w:r>
      <w:r>
        <w:rPr>
          <w:rFonts w:ascii="Verdana" w:hAnsi="Verdana" w:cs="Verdana"/>
          <w:b/>
          <w:color w:val="000000"/>
          <w:sz w:val="20"/>
          <w:szCs w:val="20"/>
        </w:rPr>
        <w:t>spectos demográficos.</w:t>
      </w:r>
    </w:p>
    <w:p w:rsidR="00000000" w:rsidRDefault="00993C0B">
      <w:pPr>
        <w:numPr>
          <w:ilvl w:val="0"/>
          <w:numId w:val="1"/>
        </w:numPr>
        <w:autoSpaceDE w:val="0"/>
        <w:ind w:left="284" w:hanging="14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Nº de población.</w:t>
      </w:r>
    </w:p>
    <w:p w:rsidR="00000000" w:rsidRDefault="00993C0B">
      <w:pPr>
        <w:numPr>
          <w:ilvl w:val="0"/>
          <w:numId w:val="1"/>
        </w:numPr>
        <w:autoSpaceDE w:val="0"/>
        <w:ind w:left="284" w:hanging="14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Tasas de natalidad y mortalidad.</w:t>
      </w:r>
    </w:p>
    <w:p w:rsidR="00000000" w:rsidRDefault="00993C0B">
      <w:pPr>
        <w:numPr>
          <w:ilvl w:val="0"/>
          <w:numId w:val="1"/>
        </w:numPr>
        <w:autoSpaceDE w:val="0"/>
        <w:ind w:left="284" w:hanging="14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Reparto de la población por edades.</w:t>
      </w:r>
    </w:p>
    <w:p w:rsidR="00000000" w:rsidRDefault="00993C0B">
      <w:pPr>
        <w:numPr>
          <w:ilvl w:val="0"/>
          <w:numId w:val="1"/>
        </w:numPr>
        <w:autoSpaceDE w:val="0"/>
        <w:ind w:left="284" w:hanging="14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Tamaño de las familias.</w:t>
      </w:r>
    </w:p>
    <w:p w:rsidR="00000000" w:rsidRDefault="00993C0B">
      <w:pPr>
        <w:autoSpaceDE w:val="0"/>
        <w:rPr>
          <w:rFonts w:ascii="Verdana" w:hAnsi="Verdana" w:cs="Verdana"/>
          <w:b/>
          <w:color w:val="000000"/>
          <w:sz w:val="20"/>
          <w:szCs w:val="20"/>
        </w:rPr>
      </w:pPr>
    </w:p>
    <w:p w:rsidR="00000000" w:rsidRDefault="00993C0B">
      <w:pPr>
        <w:autoSpaceDE w:val="0"/>
        <w:rPr>
          <w:rFonts w:ascii="Verdana" w:hAnsi="Verdana" w:cs="Verdana"/>
          <w:b/>
          <w:color w:val="000000"/>
          <w:sz w:val="20"/>
          <w:szCs w:val="20"/>
        </w:rPr>
      </w:pPr>
    </w:p>
    <w:p w:rsidR="00000000" w:rsidRDefault="00993C0B">
      <w:pPr>
        <w:autoSpaceDE w:val="0"/>
        <w:rPr>
          <w:rFonts w:ascii="Verdana" w:hAnsi="Verdana" w:cs="Verdana"/>
          <w:b/>
          <w:color w:val="000000"/>
          <w:sz w:val="20"/>
          <w:szCs w:val="20"/>
        </w:rPr>
      </w:pPr>
      <w:r>
        <w:rPr>
          <w:rFonts w:ascii="Verdana" w:hAnsi="Verdana" w:cs="Verdana"/>
          <w:b/>
          <w:color w:val="000000"/>
          <w:sz w:val="20"/>
          <w:szCs w:val="20"/>
        </w:rPr>
        <w:t>Aspectos económicos.</w:t>
      </w:r>
    </w:p>
    <w:p w:rsidR="00000000" w:rsidRDefault="00993C0B">
      <w:pPr>
        <w:numPr>
          <w:ilvl w:val="0"/>
          <w:numId w:val="2"/>
        </w:numPr>
        <w:autoSpaceDE w:val="0"/>
        <w:ind w:left="284" w:hanging="14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Población parada.</w:t>
      </w:r>
    </w:p>
    <w:p w:rsidR="00000000" w:rsidRDefault="00993C0B">
      <w:pPr>
        <w:numPr>
          <w:ilvl w:val="0"/>
          <w:numId w:val="2"/>
        </w:numPr>
        <w:autoSpaceDE w:val="0"/>
        <w:ind w:left="284" w:hanging="14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Tipos de interés.</w:t>
      </w:r>
    </w:p>
    <w:p w:rsidR="00000000" w:rsidRDefault="00993C0B">
      <w:pPr>
        <w:numPr>
          <w:ilvl w:val="0"/>
          <w:numId w:val="2"/>
        </w:numPr>
        <w:autoSpaceDE w:val="0"/>
        <w:ind w:left="284" w:hanging="14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Impuestos a pagar.</w:t>
      </w:r>
    </w:p>
    <w:p w:rsidR="00000000" w:rsidRDefault="00993C0B">
      <w:pPr>
        <w:numPr>
          <w:ilvl w:val="0"/>
          <w:numId w:val="2"/>
        </w:numPr>
        <w:autoSpaceDE w:val="0"/>
        <w:ind w:left="284" w:hanging="14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Situación económica general.</w:t>
      </w:r>
    </w:p>
    <w:p w:rsidR="00000000" w:rsidRDefault="00993C0B">
      <w:pPr>
        <w:autoSpaceDE w:val="0"/>
        <w:rPr>
          <w:rFonts w:ascii="Verdana" w:hAnsi="Verdana" w:cs="Verdana"/>
          <w:b/>
          <w:color w:val="000000"/>
          <w:sz w:val="20"/>
          <w:szCs w:val="20"/>
        </w:rPr>
      </w:pPr>
    </w:p>
    <w:p w:rsidR="00000000" w:rsidRDefault="00993C0B">
      <w:pPr>
        <w:autoSpaceDE w:val="0"/>
        <w:rPr>
          <w:rFonts w:ascii="Verdana" w:hAnsi="Verdana" w:cs="Verdana"/>
          <w:b/>
          <w:color w:val="000000"/>
          <w:sz w:val="20"/>
          <w:szCs w:val="20"/>
        </w:rPr>
      </w:pPr>
    </w:p>
    <w:p w:rsidR="00000000" w:rsidRDefault="00993C0B">
      <w:pPr>
        <w:autoSpaceDE w:val="0"/>
        <w:rPr>
          <w:rFonts w:ascii="Verdana" w:hAnsi="Verdana" w:cs="Verdana"/>
          <w:b/>
          <w:color w:val="000000"/>
          <w:sz w:val="20"/>
          <w:szCs w:val="20"/>
        </w:rPr>
      </w:pPr>
      <w:r>
        <w:rPr>
          <w:rFonts w:ascii="Verdana" w:hAnsi="Verdana" w:cs="Verdana"/>
          <w:b/>
          <w:color w:val="000000"/>
          <w:sz w:val="20"/>
          <w:szCs w:val="20"/>
        </w:rPr>
        <w:t>Aspectos cultur</w:t>
      </w:r>
      <w:r>
        <w:rPr>
          <w:rFonts w:ascii="Verdana" w:hAnsi="Verdana" w:cs="Verdana"/>
          <w:b/>
          <w:color w:val="000000"/>
          <w:sz w:val="20"/>
          <w:szCs w:val="20"/>
        </w:rPr>
        <w:t>ales y sociales.</w:t>
      </w:r>
    </w:p>
    <w:p w:rsidR="00000000" w:rsidRDefault="00993C0B">
      <w:pPr>
        <w:numPr>
          <w:ilvl w:val="0"/>
          <w:numId w:val="3"/>
        </w:numPr>
        <w:autoSpaceDE w:val="0"/>
        <w:ind w:left="284" w:hanging="14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Nivel formativo.</w:t>
      </w:r>
    </w:p>
    <w:p w:rsidR="00000000" w:rsidRDefault="00993C0B">
      <w:pPr>
        <w:numPr>
          <w:ilvl w:val="0"/>
          <w:numId w:val="3"/>
        </w:numPr>
        <w:autoSpaceDE w:val="0"/>
        <w:ind w:left="284" w:hanging="14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Estilo de vida.</w:t>
      </w:r>
    </w:p>
    <w:p w:rsidR="00000000" w:rsidRDefault="00993C0B">
      <w:pPr>
        <w:numPr>
          <w:ilvl w:val="0"/>
          <w:numId w:val="3"/>
        </w:numPr>
        <w:autoSpaceDE w:val="0"/>
        <w:ind w:left="284" w:hanging="14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Cambios sociales.</w:t>
      </w:r>
    </w:p>
    <w:p w:rsidR="00000000" w:rsidRDefault="00993C0B">
      <w:pPr>
        <w:autoSpaceDE w:val="0"/>
        <w:rPr>
          <w:rFonts w:ascii="Verdana" w:hAnsi="Verdana" w:cs="Verdana"/>
          <w:b/>
          <w:color w:val="000000"/>
          <w:sz w:val="20"/>
          <w:szCs w:val="20"/>
        </w:rPr>
      </w:pPr>
    </w:p>
    <w:p w:rsidR="00000000" w:rsidRDefault="00993C0B">
      <w:pPr>
        <w:autoSpaceDE w:val="0"/>
        <w:rPr>
          <w:rFonts w:ascii="Verdana" w:hAnsi="Verdana" w:cs="Verdana"/>
          <w:b/>
          <w:color w:val="000000"/>
          <w:sz w:val="20"/>
          <w:szCs w:val="20"/>
        </w:rPr>
      </w:pPr>
      <w:r>
        <w:rPr>
          <w:rFonts w:ascii="Verdana" w:hAnsi="Verdana" w:cs="Verdana"/>
          <w:b/>
          <w:color w:val="000000"/>
          <w:sz w:val="20"/>
          <w:szCs w:val="20"/>
        </w:rPr>
        <w:t>Aspectos legales</w:t>
      </w:r>
    </w:p>
    <w:p w:rsidR="00000000" w:rsidRDefault="00993C0B">
      <w:pPr>
        <w:numPr>
          <w:ilvl w:val="0"/>
          <w:numId w:val="3"/>
        </w:numPr>
        <w:autoSpaceDE w:val="0"/>
        <w:ind w:left="284" w:hanging="14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Normativa general referida a impuestos, normas laborales y en prevención de riesgos laborales.</w:t>
      </w:r>
    </w:p>
    <w:p w:rsidR="00000000" w:rsidRDefault="00993C0B">
      <w:pPr>
        <w:numPr>
          <w:ilvl w:val="0"/>
          <w:numId w:val="3"/>
        </w:numPr>
        <w:autoSpaceDE w:val="0"/>
        <w:ind w:left="284" w:hanging="14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Normativa específica para la actividad: autorizaciones, licencias, carnés, </w:t>
      </w:r>
      <w:r>
        <w:rPr>
          <w:rFonts w:ascii="Verdana" w:hAnsi="Verdana" w:cs="Verdana"/>
          <w:color w:val="000000"/>
          <w:sz w:val="20"/>
          <w:szCs w:val="20"/>
        </w:rPr>
        <w:t xml:space="preserve">visados, requisitos de los espacios y lugares de trabajo, titulaciones mínimas del personal etc. </w:t>
      </w:r>
    </w:p>
    <w:p w:rsidR="00000000" w:rsidRDefault="00993C0B">
      <w:pPr>
        <w:autoSpaceDE w:val="0"/>
        <w:rPr>
          <w:rFonts w:ascii="Verdana" w:hAnsi="Verdana" w:cs="Verdana"/>
          <w:b/>
          <w:color w:val="000000"/>
          <w:sz w:val="20"/>
          <w:szCs w:val="20"/>
        </w:rPr>
      </w:pPr>
      <w:r>
        <w:rPr>
          <w:rFonts w:ascii="Verdana" w:hAnsi="Verdana" w:cs="Verdana"/>
          <w:b/>
          <w:color w:val="000000"/>
          <w:sz w:val="20"/>
          <w:szCs w:val="20"/>
        </w:rPr>
        <w:t>Aspectos tecnológicos</w:t>
      </w:r>
    </w:p>
    <w:p w:rsidR="00000000" w:rsidRDefault="00993C0B">
      <w:pPr>
        <w:numPr>
          <w:ilvl w:val="0"/>
          <w:numId w:val="4"/>
        </w:numPr>
        <w:autoSpaceDE w:val="0"/>
        <w:ind w:left="284" w:hanging="14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Adelantos en la tecnología </w:t>
      </w:r>
    </w:p>
    <w:p w:rsidR="00000000" w:rsidRDefault="00993C0B">
      <w:pPr>
        <w:numPr>
          <w:ilvl w:val="0"/>
          <w:numId w:val="4"/>
        </w:numPr>
        <w:autoSpaceDE w:val="0"/>
        <w:ind w:left="284" w:hanging="14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Tecnología en desuso</w:t>
      </w:r>
    </w:p>
    <w:p w:rsidR="00000000" w:rsidRDefault="00993C0B">
      <w:pPr>
        <w:autoSpaceDE w:val="0"/>
        <w:rPr>
          <w:rFonts w:ascii="Verdana" w:hAnsi="Verdana" w:cs="Verdana"/>
          <w:b/>
          <w:color w:val="000000"/>
          <w:sz w:val="20"/>
          <w:szCs w:val="20"/>
        </w:rPr>
      </w:pPr>
    </w:p>
    <w:p w:rsidR="00000000" w:rsidRDefault="00993C0B">
      <w:pPr>
        <w:autoSpaceDE w:val="0"/>
        <w:rPr>
          <w:rFonts w:ascii="Verdana" w:hAnsi="Verdana" w:cs="Verdana"/>
          <w:b/>
          <w:color w:val="000000"/>
          <w:sz w:val="20"/>
          <w:szCs w:val="20"/>
        </w:rPr>
      </w:pPr>
      <w:r>
        <w:rPr>
          <w:rFonts w:ascii="Verdana" w:hAnsi="Verdana" w:cs="Verdana"/>
          <w:b/>
          <w:color w:val="000000"/>
          <w:sz w:val="20"/>
          <w:szCs w:val="20"/>
        </w:rPr>
        <w:t>Aspectos medioambientales</w:t>
      </w:r>
    </w:p>
    <w:p w:rsidR="00000000" w:rsidRDefault="00993C0B">
      <w:pPr>
        <w:numPr>
          <w:ilvl w:val="0"/>
          <w:numId w:val="5"/>
        </w:numPr>
        <w:autoSpaceDE w:val="0"/>
        <w:ind w:left="284" w:hanging="14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Tratamiento de elementos tóxicos</w:t>
      </w:r>
    </w:p>
    <w:p w:rsidR="00000000" w:rsidRDefault="00993C0B">
      <w:pPr>
        <w:numPr>
          <w:ilvl w:val="0"/>
          <w:numId w:val="5"/>
        </w:numPr>
        <w:autoSpaceDE w:val="0"/>
        <w:ind w:left="284" w:hanging="142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Tratamiento de deshechos </w:t>
      </w:r>
    </w:p>
    <w:p w:rsidR="00000000" w:rsidRDefault="00993C0B">
      <w:pPr>
        <w:numPr>
          <w:ilvl w:val="0"/>
          <w:numId w:val="5"/>
        </w:numPr>
        <w:autoSpaceDE w:val="0"/>
        <w:ind w:left="284" w:hanging="142"/>
        <w:rPr>
          <w:rFonts w:ascii="Verdana" w:hAnsi="Verdana" w:cs="Verdana"/>
          <w:color w:val="000000"/>
          <w:sz w:val="20"/>
          <w:szCs w:val="20"/>
        </w:rPr>
        <w:sectPr w:rsidR="00000000">
          <w:type w:val="continuous"/>
          <w:pgSz w:w="11905" w:h="16837"/>
          <w:pgMar w:top="1134" w:right="1134" w:bottom="1134" w:left="1134" w:header="720" w:footer="720" w:gutter="0"/>
          <w:cols w:num="2" w:space="708"/>
          <w:docGrid w:linePitch="360"/>
        </w:sectPr>
      </w:pPr>
      <w:r>
        <w:rPr>
          <w:rFonts w:ascii="Verdana" w:hAnsi="Verdana" w:cs="Verdana"/>
          <w:color w:val="000000"/>
          <w:sz w:val="20"/>
          <w:szCs w:val="20"/>
        </w:rPr>
        <w:t>A</w:t>
      </w:r>
      <w:r>
        <w:rPr>
          <w:rFonts w:ascii="Verdana" w:hAnsi="Verdana" w:cs="Verdana"/>
          <w:color w:val="000000"/>
          <w:sz w:val="20"/>
          <w:szCs w:val="20"/>
        </w:rPr>
        <w:t>horro energético</w:t>
      </w:r>
    </w:p>
    <w:p w:rsidR="00993C0B" w:rsidRDefault="00993C0B">
      <w:pPr>
        <w:autoSpaceDE w:val="0"/>
        <w:rPr>
          <w:rFonts w:ascii="Verdana" w:hAnsi="Verdana" w:cs="Verdana"/>
          <w:color w:val="000000"/>
          <w:sz w:val="20"/>
          <w:szCs w:val="20"/>
        </w:rPr>
        <w:sectPr w:rsidR="00993C0B">
          <w:type w:val="continuous"/>
          <w:pgSz w:w="11905" w:h="16837"/>
          <w:pgMar w:top="1134" w:right="1134" w:bottom="1134" w:left="1134" w:header="720" w:footer="720" w:gutter="0"/>
          <w:cols w:space="720"/>
          <w:docGrid w:linePitch="360"/>
        </w:sectPr>
      </w:pPr>
    </w:p>
    <w:sectPr w:rsidR="00993C0B">
      <w:type w:val="continuous"/>
      <w:pgSz w:w="11905" w:h="1683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MS Gothic"/>
    <w:charset w:val="8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erdana" w:hAnsi="Verdana" w:cs="Verdana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erdana" w:hAnsi="Verdana" w:cs="Verdana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erdana" w:hAnsi="Verdana" w:cs="Verdana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-"/>
      <w:lvlJc w:val="left"/>
      <w:pPr>
        <w:tabs>
          <w:tab w:val="num" w:pos="0"/>
        </w:tabs>
        <w:ind w:left="862" w:hanging="360"/>
      </w:pPr>
      <w:rPr>
        <w:rFonts w:ascii="Verdana" w:hAnsi="Verdana" w:cs="Verdana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erdana" w:hAnsi="Verdana" w:cs="Verdana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savePreviewPicture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A62B5"/>
    <w:rsid w:val="000A62B5"/>
    <w:rsid w:val="0099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2A4A68F5-5AEF-4ABF-A764-ADB9E2F2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eastAsia="DejaVu Sans"/>
      <w:kern w:val="1"/>
      <w:sz w:val="24"/>
      <w:szCs w:val="24"/>
      <w:lang/>
    </w:rPr>
  </w:style>
  <w:style w:type="character" w:default="1" w:styleId="Fuentedeprrafopredeter">
    <w:name w:val="Default Paragraph Font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Verdana" w:hAnsi="Verdana" w:cs="Verdana"/>
    </w:rPr>
  </w:style>
  <w:style w:type="character" w:customStyle="1" w:styleId="WW8Num2z0">
    <w:name w:val="WW8Num2z0"/>
    <w:rPr>
      <w:rFonts w:ascii="Verdana" w:hAnsi="Verdana" w:cs="Verdana"/>
    </w:rPr>
  </w:style>
  <w:style w:type="character" w:customStyle="1" w:styleId="WW8Num3z0">
    <w:name w:val="WW8Num3z0"/>
    <w:rPr>
      <w:rFonts w:ascii="Verdana" w:hAnsi="Verdana" w:cs="Verdana"/>
    </w:rPr>
  </w:style>
  <w:style w:type="character" w:customStyle="1" w:styleId="WW8Num4z0">
    <w:name w:val="WW8Num4z0"/>
    <w:rPr>
      <w:rFonts w:ascii="Verdana" w:hAnsi="Verdana" w:cs="Verdana"/>
    </w:rPr>
  </w:style>
  <w:style w:type="character" w:customStyle="1" w:styleId="WW8Num5z0">
    <w:name w:val="WW8Num5z0"/>
    <w:rPr>
      <w:rFonts w:ascii="Verdana" w:eastAsia="Times New Roman" w:hAnsi="Verdana" w:cs="Verdana"/>
    </w:rPr>
  </w:style>
  <w:style w:type="character" w:customStyle="1" w:styleId="Absatz-Standardschriftart">
    <w:name w:val="Absatz-Standardschriftart"/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9z0">
    <w:name w:val="WW8Num9z0"/>
    <w:rPr>
      <w:rFonts w:ascii="Verdana" w:eastAsia="Times New Roman" w:hAnsi="Verdana" w:cs="Verdana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23z0">
    <w:name w:val="WW8Num23z0"/>
    <w:rPr>
      <w:rFonts w:ascii="Verdana" w:eastAsia="Times New Roman" w:hAnsi="Verdana" w:cs="Verdana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3z3">
    <w:name w:val="WW8Num23z3"/>
    <w:rPr>
      <w:rFonts w:ascii="Symbol" w:hAnsi="Symbol"/>
    </w:rPr>
  </w:style>
  <w:style w:type="character" w:customStyle="1" w:styleId="WW8Num12z0">
    <w:name w:val="WW8Num12z0"/>
    <w:rPr>
      <w:rFonts w:ascii="Verdana" w:eastAsia="Times New Roman" w:hAnsi="Verdana" w:cs="Verdana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0z0">
    <w:name w:val="WW8Num10z0"/>
    <w:rPr>
      <w:rFonts w:ascii="Verdana" w:eastAsia="Times New Roman" w:hAnsi="Verdana" w:cs="Verdana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0z3">
    <w:name w:val="WW8Num10z3"/>
    <w:rPr>
      <w:rFonts w:ascii="Symbol" w:hAnsi="Symbol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Ramón</dc:creator>
  <cp:keywords/>
  <cp:lastModifiedBy>mclaveria</cp:lastModifiedBy>
  <cp:revision>2</cp:revision>
  <cp:lastPrinted>1601-01-01T00:00:00Z</cp:lastPrinted>
  <dcterms:created xsi:type="dcterms:W3CDTF">2021-11-02T17:22:00Z</dcterms:created>
  <dcterms:modified xsi:type="dcterms:W3CDTF">2021-11-02T17:22:00Z</dcterms:modified>
</cp:coreProperties>
</file>