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493B" w14:textId="77777777" w:rsidR="00C33DF6" w:rsidRDefault="00000000">
      <w:pPr>
        <w:spacing w:after="40"/>
        <w:jc w:val="center"/>
      </w:pPr>
      <w:r>
        <w:rPr>
          <w:b/>
          <w:bCs/>
          <w:color w:val="C0392B"/>
          <w:sz w:val="34"/>
          <w:szCs w:val="34"/>
        </w:rPr>
        <w:t>Analyze Food Delivery Demand Across Regions to Inform Market Expansion &amp; Logistics</w:t>
      </w:r>
    </w:p>
    <w:p w14:paraId="13FA3D05" w14:textId="77777777" w:rsidR="00C33DF6" w:rsidRDefault="00000000">
      <w:pPr>
        <w:spacing w:after="20"/>
        <w:jc w:val="center"/>
      </w:pPr>
      <w:r>
        <w:rPr>
          <w:i/>
          <w:iCs/>
          <w:color w:val="555555"/>
        </w:rPr>
        <w:t xml:space="preserve">Data Science Capstone Project | Topic 7 | </w:t>
      </w:r>
      <w:proofErr w:type="spellStart"/>
      <w:r>
        <w:rPr>
          <w:i/>
          <w:iCs/>
          <w:color w:val="555555"/>
        </w:rPr>
        <w:t>FoodTech</w:t>
      </w:r>
      <w:proofErr w:type="spellEnd"/>
    </w:p>
    <w:p w14:paraId="0203A177" w14:textId="77777777" w:rsidR="00C33DF6" w:rsidRDefault="00000000">
      <w:pPr>
        <w:spacing w:after="400"/>
        <w:jc w:val="center"/>
      </w:pPr>
      <w:r>
        <w:rPr>
          <w:b/>
          <w:bCs/>
          <w:sz w:val="24"/>
          <w:szCs w:val="24"/>
        </w:rPr>
        <w:t>Phase 7 — Power BI Dashboard, Business Questions &amp; Insights</w:t>
      </w:r>
    </w:p>
    <w:p w14:paraId="60FD2D38" w14:textId="77777777" w:rsidR="00C33DF6" w:rsidRDefault="00000000">
      <w:pPr>
        <w:pBdr>
          <w:bottom w:val="single" w:sz="12" w:space="6" w:color="C0392B"/>
        </w:pBdr>
        <w:spacing w:before="420" w:after="140"/>
      </w:pPr>
      <w:r>
        <w:rPr>
          <w:b/>
          <w:bCs/>
          <w:color w:val="C0392B"/>
          <w:sz w:val="30"/>
          <w:szCs w:val="30"/>
        </w:rPr>
        <w:t>Objective 1 — Regional Demand &amp; Market Expansion</w:t>
      </w:r>
    </w:p>
    <w:p w14:paraId="6BBC960E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Q1 —</w:t>
      </w:r>
      <w:r>
        <w:t xml:space="preserve"> Which regions (Urban / Semi-Urban / Metropolitan) generate the highest total order volume and Net Revenue?</w:t>
      </w:r>
    </w:p>
    <w:p w14:paraId="3CD599B0" w14:textId="77777777" w:rsidR="00C33DF6" w:rsidRDefault="00000000">
      <w:pPr>
        <w:spacing w:after="140"/>
      </w:pPr>
      <w:r>
        <w:t xml:space="preserve">Partially addressed — </w:t>
      </w:r>
      <w:r>
        <w:rPr>
          <w:i/>
          <w:iCs/>
          <w:color w:val="555555"/>
        </w:rPr>
        <w:t>Q4 (does order volume spike differently by region during festival periods) is answerable interactively via the Region slicer on the Regional Demand page, but is not shown as a dedicated split chart.</w:t>
      </w:r>
    </w:p>
    <w:p w14:paraId="6975BF7D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Dashboard Evidence</w:t>
      </w:r>
    </w:p>
    <w:p w14:paraId="65401458" w14:textId="77777777" w:rsidR="00C33DF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731424B" wp14:editId="32787F1D">
            <wp:extent cx="641985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706C" w14:textId="77777777" w:rsidR="00C33D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Overview page — headline KPIs, regional order split, delivery time by vehicle type</w:t>
      </w:r>
    </w:p>
    <w:p w14:paraId="103AD420" w14:textId="77777777" w:rsidR="00C33DF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8FFFAE4" wp14:editId="10B4AD21">
            <wp:extent cx="6296025" cy="2562225"/>
            <wp:effectExtent l="0" t="0" r="9525" b="9525"/>
            <wp:docPr id="698343404" name="Picture 698343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90E3" w14:textId="77777777" w:rsidR="00C33D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Regional Demand page — monthly order trend by festival flag, net revenue by region</w:t>
      </w:r>
    </w:p>
    <w:p w14:paraId="2643AE41" w14:textId="77777777" w:rsidR="001B262C" w:rsidRDefault="001B262C">
      <w:pPr>
        <w:spacing w:before="220" w:after="90"/>
        <w:rPr>
          <w:b/>
          <w:bCs/>
          <w:sz w:val="23"/>
          <w:szCs w:val="23"/>
        </w:rPr>
      </w:pPr>
    </w:p>
    <w:p w14:paraId="1EA4CBDA" w14:textId="77777777" w:rsidR="001B262C" w:rsidRDefault="001B262C">
      <w:pPr>
        <w:spacing w:before="220" w:after="90"/>
        <w:rPr>
          <w:b/>
          <w:bCs/>
          <w:sz w:val="23"/>
          <w:szCs w:val="23"/>
        </w:rPr>
      </w:pPr>
    </w:p>
    <w:p w14:paraId="640B3652" w14:textId="0D80BB79" w:rsidR="00C33DF6" w:rsidRDefault="00000000">
      <w:pPr>
        <w:spacing w:before="220" w:after="90"/>
      </w:pPr>
      <w:r>
        <w:rPr>
          <w:b/>
          <w:bCs/>
          <w:sz w:val="23"/>
          <w:szCs w:val="23"/>
        </w:rPr>
        <w:lastRenderedPageBreak/>
        <w:t>Insights</w:t>
      </w:r>
    </w:p>
    <w:p w14:paraId="1D2FCA2C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Regional balance:</w:t>
      </w:r>
      <w:r>
        <w:t xml:space="preserve"> Order volume is almost perfectly split across Urban, Semi-Urban, and Metropolitan regions (~33K orders each out of 100K total) — demand is not concentrated in one region type, so expansion and resourcing decisions should treat all three as equally important.</w:t>
      </w:r>
    </w:p>
    <w:p w14:paraId="4D6BC06B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Revenue distribution:</w:t>
      </w:r>
      <w:r>
        <w:t xml:space="preserve"> Net Revenue is likewise nearly identical across the three regions (~17M each), confirming no single region is disproportionately valuable — investment shouldn't be skewed toward one region type based on this data alone.</w:t>
      </w:r>
    </w:p>
    <w:p w14:paraId="39C198D2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Seasonal demand:</w:t>
      </w:r>
      <w:r>
        <w:t xml:space="preserve"> Festival months (March, July, August, October–December) show a consistent ~20% uplift in order volume over non-festival months — a predictable, exploitable seasonal pattern useful for staffing and delivery-partner scheduling.</w:t>
      </w:r>
    </w:p>
    <w:p w14:paraId="531082DC" w14:textId="77777777" w:rsidR="00C33DF6" w:rsidRDefault="00000000">
      <w:pPr>
        <w:pBdr>
          <w:bottom w:val="single" w:sz="12" w:space="6" w:color="C0392B"/>
        </w:pBdr>
        <w:spacing w:before="420" w:after="140"/>
      </w:pPr>
      <w:r>
        <w:rPr>
          <w:b/>
          <w:bCs/>
          <w:color w:val="C0392B"/>
          <w:sz w:val="30"/>
          <w:szCs w:val="30"/>
        </w:rPr>
        <w:t>Objective 2 — Customer Behavior &amp; Loyalty</w:t>
      </w:r>
    </w:p>
    <w:p w14:paraId="3B791235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Business Questions Addressed</w:t>
      </w:r>
    </w:p>
    <w:p w14:paraId="2EBC3E64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Q10 —</w:t>
      </w:r>
      <w:r>
        <w:t xml:space="preserve"> Does </w:t>
      </w:r>
      <w:proofErr w:type="spellStart"/>
      <w:r>
        <w:t>Age_Group</w:t>
      </w:r>
      <w:proofErr w:type="spellEnd"/>
      <w:r>
        <w:t xml:space="preserve"> influence </w:t>
      </w:r>
      <w:proofErr w:type="spellStart"/>
      <w:r>
        <w:t>Preferred_Cuisine</w:t>
      </w:r>
      <w:proofErr w:type="spellEnd"/>
      <w:r>
        <w:t xml:space="preserve"> choice?</w:t>
      </w:r>
    </w:p>
    <w:p w14:paraId="06B25295" w14:textId="77777777" w:rsidR="00C33DF6" w:rsidRDefault="00000000">
      <w:pPr>
        <w:spacing w:after="140"/>
      </w:pPr>
      <w:r>
        <w:rPr>
          <w:b/>
          <w:bCs/>
          <w:color w:val="B8860B"/>
        </w:rPr>
        <w:t xml:space="preserve">Gap noted: </w:t>
      </w:r>
      <w:r>
        <w:rPr>
          <w:i/>
          <w:iCs/>
          <w:color w:val="555555"/>
        </w:rPr>
        <w:t xml:space="preserve">Q5, Q6, Q7, Q8 and Q9 all ask about behavior split by </w:t>
      </w:r>
      <w:proofErr w:type="spellStart"/>
      <w:r>
        <w:rPr>
          <w:i/>
          <w:iCs/>
          <w:color w:val="555555"/>
        </w:rPr>
        <w:t>Customer_Type</w:t>
      </w:r>
      <w:proofErr w:type="spellEnd"/>
      <w:r>
        <w:rPr>
          <w:i/>
          <w:iCs/>
          <w:color w:val="555555"/>
        </w:rPr>
        <w:t xml:space="preserve"> (New/Returning/Loyal), which the Power BI dashboard does not chart. The visuals below answer a related but different cut of the data — order volume and payment mode overall, and by age group.</w:t>
      </w:r>
    </w:p>
    <w:p w14:paraId="0216BFDA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Alternative / Supplementary Business Questions (derived from this dashboard)</w:t>
      </w:r>
    </w:p>
    <w:p w14:paraId="3DCAB7A2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AQ1 —</w:t>
      </w:r>
      <w:r>
        <w:t xml:space="preserve"> How does order volume vary by </w:t>
      </w:r>
      <w:proofErr w:type="spellStart"/>
      <w:r>
        <w:t>Age_Group</w:t>
      </w:r>
      <w:proofErr w:type="spellEnd"/>
      <w:r>
        <w:t>, and does that vary by cuisine preference within each group?</w:t>
      </w:r>
    </w:p>
    <w:p w14:paraId="24F3867D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AQ2 —</w:t>
      </w:r>
      <w:r>
        <w:t xml:space="preserve"> Is spend concentrated in specific payment modes, or evenly distributed across the customer base?</w:t>
      </w:r>
    </w:p>
    <w:p w14:paraId="2D7B4294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AQ3 —</w:t>
      </w:r>
      <w:r>
        <w:t xml:space="preserve"> Does the platform's 70% repeat customer rate translate into a higher average order value?</w:t>
      </w:r>
    </w:p>
    <w:p w14:paraId="6CB5E115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Dashboard Evidence</w:t>
      </w:r>
    </w:p>
    <w:p w14:paraId="1888E11C" w14:textId="77777777" w:rsidR="00C33DF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1F3F9C5" wp14:editId="366DC271">
            <wp:extent cx="6076950" cy="2952750"/>
            <wp:effectExtent l="0" t="0" r="0" b="0"/>
            <wp:docPr id="1649716131" name="Picture 1649716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BA06" w14:textId="77777777" w:rsidR="00C33D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Customer </w:t>
      </w:r>
      <w:proofErr w:type="spellStart"/>
      <w:r>
        <w:rPr>
          <w:i/>
          <w:iCs/>
          <w:color w:val="555555"/>
          <w:sz w:val="18"/>
          <w:szCs w:val="18"/>
        </w:rPr>
        <w:t>Behaviour</w:t>
      </w:r>
      <w:proofErr w:type="spellEnd"/>
      <w:r>
        <w:rPr>
          <w:i/>
          <w:iCs/>
          <w:color w:val="555555"/>
          <w:sz w:val="18"/>
          <w:szCs w:val="18"/>
        </w:rPr>
        <w:t xml:space="preserve"> page — order volume by age/cuisine, payment mode split, repeat rate &amp; AOV</w:t>
      </w:r>
    </w:p>
    <w:p w14:paraId="6944AE33" w14:textId="77777777" w:rsidR="001B262C" w:rsidRDefault="001B262C">
      <w:pPr>
        <w:spacing w:before="220" w:after="90"/>
        <w:rPr>
          <w:b/>
          <w:bCs/>
          <w:sz w:val="23"/>
          <w:szCs w:val="23"/>
        </w:rPr>
      </w:pPr>
    </w:p>
    <w:p w14:paraId="265D63A1" w14:textId="332D3B32" w:rsidR="00C33DF6" w:rsidRDefault="00000000">
      <w:pPr>
        <w:spacing w:before="220" w:after="90"/>
      </w:pPr>
      <w:r>
        <w:rPr>
          <w:b/>
          <w:bCs/>
          <w:sz w:val="23"/>
          <w:szCs w:val="23"/>
        </w:rPr>
        <w:lastRenderedPageBreak/>
        <w:t>Insights</w:t>
      </w:r>
    </w:p>
    <w:p w14:paraId="67C3DD18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Age drives volume, not cuisine choice:</w:t>
      </w:r>
      <w:r>
        <w:t xml:space="preserve"> The 36–50 age group places noticeably more orders (~1,400–1,550 per cuisine) than any other segment, followed by 26–35, then 18–25, with 50+ trailing far behind (~350–470). Cuisine preference is fairly even within every age group.</w:t>
      </w:r>
    </w:p>
    <w:p w14:paraId="6005D81B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Payment mode is evenly split:</w:t>
      </w:r>
      <w:r>
        <w:t xml:space="preserve"> Card, Cash, UPI, and Wallet each account for almost exactly 25% of orders — the customer base is genuinely payment-agnostic, so payment-specific promotions wouldn't be building on an existing skew.</w:t>
      </w:r>
    </w:p>
    <w:p w14:paraId="5B405D59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Retention without spend uplift:</w:t>
      </w:r>
      <w:r>
        <w:t xml:space="preserve"> A 70% repeat customer rate is strong, but average order value (₹559.95) stays flat regardless — loyalty isn't yet translating into a bigger basket size, a specific opportunity for loyalty-tier discounts aimed at raising AOV rather than just visit frequency.</w:t>
      </w:r>
    </w:p>
    <w:p w14:paraId="4F49FB7E" w14:textId="77777777" w:rsidR="00C33DF6" w:rsidRDefault="00000000">
      <w:pPr>
        <w:pBdr>
          <w:bottom w:val="single" w:sz="12" w:space="6" w:color="C0392B"/>
        </w:pBdr>
        <w:spacing w:before="420" w:after="140"/>
      </w:pPr>
      <w:r>
        <w:rPr>
          <w:b/>
          <w:bCs/>
          <w:color w:val="C0392B"/>
          <w:sz w:val="30"/>
          <w:szCs w:val="30"/>
        </w:rPr>
        <w:t>Objective 3 — Delivery Partner &amp; Logistics Efficiency</w:t>
      </w:r>
    </w:p>
    <w:p w14:paraId="6441FAA5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Business Questions Addressed</w:t>
      </w:r>
    </w:p>
    <w:p w14:paraId="47F3840F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AQ4 —</w:t>
      </w:r>
      <w:r>
        <w:t xml:space="preserve"> Does average delivery time vary meaningfully by region or by vehicle type?</w:t>
      </w:r>
    </w:p>
    <w:p w14:paraId="641E0CD7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AQ5 —</w:t>
      </w:r>
      <w:r>
        <w:t xml:space="preserve"> Is there a relationship between a delivery partner's efficiency score and their average delivery speed, and does this relationship differ by region?</w:t>
      </w:r>
    </w:p>
    <w:p w14:paraId="6FDF7955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AQ6 —</w:t>
      </w:r>
      <w:r>
        <w:t xml:space="preserve"> What is the platform's overall on-time delivery rate and cancellation rate, and are they at acceptable levels?</w:t>
      </w:r>
    </w:p>
    <w:p w14:paraId="6B3E9AED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Dashboard Evidence</w:t>
      </w:r>
    </w:p>
    <w:p w14:paraId="5BCA6969" w14:textId="77777777" w:rsidR="00C33DF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EBCD0F6" wp14:editId="5B50B2C5">
            <wp:extent cx="6305550" cy="2657475"/>
            <wp:effectExtent l="0" t="0" r="0" b="9525"/>
            <wp:docPr id="1022772893" name="Picture 1022772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CFF6" w14:textId="77777777" w:rsidR="00C33D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Logistics &amp; Delivery page — delivery time by region, efficiency vs. speed scatter, service KPIs</w:t>
      </w:r>
    </w:p>
    <w:p w14:paraId="0E490303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Insights</w:t>
      </w:r>
    </w:p>
    <w:p w14:paraId="22053A45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Delivery time is consistent, not regional:</w:t>
      </w:r>
      <w:r>
        <w:t xml:space="preserve"> Average delivery time is virtually identical across Urban, Semi-Urban, and Metropolitan regions (~35–36 min), and flat across vehicle types too (Overview page) — region and vehicle choice are not meaningful levers for speeding up deliveries; the real driver likely lies elsewhere (distance, restaurant prep time).</w:t>
      </w:r>
    </w:p>
    <w:p w14:paraId="3D993B0A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Two-tier delivery partner performance:</w:t>
      </w:r>
      <w:r>
        <w:t xml:space="preserve"> The efficiency-vs-speed scatter shows two distinct clusters rather than one smooth trend: a lower-performing group (efficiency ~0.2–0.5, speed under 20 KMPH) concentrated in Semi-Urban regions, and a stronger group (efficiency 0.6–1.0) dominated by </w:t>
      </w:r>
      <w:r>
        <w:lastRenderedPageBreak/>
        <w:t>Urban/Metropolitan partners. This points to a real infrastructure or partner-quality gap specifically in Semi-Urban areas.</w:t>
      </w:r>
    </w:p>
    <w:p w14:paraId="3A7ABD88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Service reliability:</w:t>
      </w:r>
      <w:r>
        <w:t xml:space="preserve"> An 89.8% on-time rate against a 4.95% cancellation rate indicates generally reliable service, with cancellations being the smaller of the two levers worth investigating further.</w:t>
      </w:r>
    </w:p>
    <w:p w14:paraId="11C5EE83" w14:textId="77777777" w:rsidR="00C33DF6" w:rsidRDefault="00000000">
      <w:pPr>
        <w:pBdr>
          <w:bottom w:val="single" w:sz="12" w:space="6" w:color="C0392B"/>
        </w:pBdr>
        <w:spacing w:before="420" w:after="140"/>
      </w:pPr>
      <w:r>
        <w:rPr>
          <w:b/>
          <w:bCs/>
          <w:color w:val="C0392B"/>
          <w:sz w:val="30"/>
          <w:szCs w:val="30"/>
        </w:rPr>
        <w:t>Objective 4 — Restaurant Performance &amp; Capacity</w:t>
      </w:r>
    </w:p>
    <w:p w14:paraId="715BE4D7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Business Questions Addressed</w:t>
      </w:r>
    </w:p>
    <w:p w14:paraId="6D66F05B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Q15 —</w:t>
      </w:r>
      <w:r>
        <w:t xml:space="preserve"> Does </w:t>
      </w:r>
      <w:proofErr w:type="spellStart"/>
      <w:r>
        <w:t>Avg_Preparation_Time_Minutes</w:t>
      </w:r>
      <w:proofErr w:type="spellEnd"/>
      <w:r>
        <w:t xml:space="preserve"> correlate with </w:t>
      </w:r>
      <w:proofErr w:type="spellStart"/>
      <w:r>
        <w:t>Avg_Rating</w:t>
      </w:r>
      <w:proofErr w:type="spellEnd"/>
      <w:r>
        <w:t xml:space="preserve"> at the restaurant level?</w:t>
      </w:r>
    </w:p>
    <w:p w14:paraId="211FD4C3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Q17 —</w:t>
      </w:r>
      <w:r>
        <w:t xml:space="preserve"> Do restaurants flagged </w:t>
      </w:r>
      <w:proofErr w:type="spellStart"/>
      <w:r>
        <w:t>Low_Capacity_Flag</w:t>
      </w:r>
      <w:proofErr w:type="spellEnd"/>
      <w:r>
        <w:t xml:space="preserve"> = "Yes" show lower </w:t>
      </w:r>
      <w:proofErr w:type="spellStart"/>
      <w:r>
        <w:t>Avg_Rating</w:t>
      </w:r>
      <w:proofErr w:type="spellEnd"/>
      <w:r>
        <w:t xml:space="preserve"> than others?</w:t>
      </w:r>
    </w:p>
    <w:p w14:paraId="5D320080" w14:textId="77777777" w:rsidR="00C33DF6" w:rsidRDefault="00000000">
      <w:pPr>
        <w:spacing w:after="140"/>
      </w:pPr>
      <w:r>
        <w:rPr>
          <w:b/>
          <w:bCs/>
          <w:color w:val="B8860B"/>
        </w:rPr>
        <w:t xml:space="preserve">Partially addressed: </w:t>
      </w:r>
      <w:r>
        <w:rPr>
          <w:i/>
          <w:iCs/>
          <w:color w:val="555555"/>
        </w:rPr>
        <w:t xml:space="preserve">Q16 (highest-rated </w:t>
      </w:r>
      <w:proofErr w:type="spellStart"/>
      <w:r>
        <w:rPr>
          <w:i/>
          <w:iCs/>
          <w:color w:val="555555"/>
        </w:rPr>
        <w:t>Cuisine_Type</w:t>
      </w:r>
      <w:proofErr w:type="spellEnd"/>
      <w:r>
        <w:rPr>
          <w:i/>
          <w:iCs/>
          <w:color w:val="555555"/>
        </w:rPr>
        <w:t>) and Q18 (capacity by City) are not charted directly — the underlying fields exist in the table visual but aren't aggregated for these specific questions.</w:t>
      </w:r>
    </w:p>
    <w:p w14:paraId="624A0929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Dashboard Evidence</w:t>
      </w:r>
    </w:p>
    <w:p w14:paraId="4D4E61DB" w14:textId="77777777" w:rsidR="00C33DF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39EE327" wp14:editId="543CDB9D">
            <wp:extent cx="6591300" cy="2314575"/>
            <wp:effectExtent l="0" t="0" r="0" b="9525"/>
            <wp:docPr id="240632206" name="Picture 240632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E0FB" w14:textId="77777777" w:rsidR="00C33D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Restaurant Performance page — utilization, prep-time vs. rating scatter, filterable detail table, Key Influencers</w:t>
      </w:r>
    </w:p>
    <w:p w14:paraId="301FCF88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Insights</w:t>
      </w:r>
    </w:p>
    <w:p w14:paraId="4F695FC9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Capacity flag validated:</w:t>
      </w:r>
      <w:r>
        <w:t xml:space="preserve"> </w:t>
      </w:r>
      <w:proofErr w:type="spellStart"/>
      <w:r>
        <w:t>Low_Capacity_Flag</w:t>
      </w:r>
      <w:proofErr w:type="spellEnd"/>
      <w:r>
        <w:t xml:space="preserve"> perfectly separates the dataset — every flagged restaurant sits above 34.5% utilization (up to 142%), every unflagged one sits below 27.8%, with zero overlap across all 550 restaurants — confirming the flag is a reliable, correctly-set indicator.</w:t>
      </w:r>
    </w:p>
    <w:p w14:paraId="188C7185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Rating is not the differentiator:</w:t>
      </w:r>
      <w:r>
        <w:t xml:space="preserve"> Average rating holds steady around 4.62 (range 3.5–5.0) regardless of utilization level — a restaurant at 142% utilization rates almost identically to one at under 1% utilization. Quality does not explain which restaurants are over-stretched vs. idle.</w:t>
      </w:r>
    </w:p>
    <w:p w14:paraId="5EEBCA70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Demand-allocation, not performance, gap:</w:t>
      </w:r>
      <w:r>
        <w:t xml:space="preserve"> Since rating and prep time don't explain the utilization gap, the difference between over-stretched and underutilized restaurants points to a demand-allocation problem — how orders are routed or marketed — rather than a restaurant-side performance issue.</w:t>
      </w:r>
    </w:p>
    <w:p w14:paraId="16C223B3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Refined AI-driven finding:</w:t>
      </w:r>
      <w:r>
        <w:t xml:space="preserve"> A Key Influencers analysis found restaurants rating 4.65–4.79 specifically are 27% more likely to see decreasing utilization than the baseline — a narrower pattern worth flagging as a hypothesis for further investigation, not a settled conclusion.</w:t>
      </w:r>
    </w:p>
    <w:p w14:paraId="30E04AEB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Data-quality caveat:</w:t>
      </w:r>
      <w:r>
        <w:t xml:space="preserve"> 31% of restaurants show utilization above 100%, which isn't logically possible if capacity is a hard ceiling. This suggests </w:t>
      </w:r>
      <w:proofErr w:type="spellStart"/>
      <w:r>
        <w:t>Order_Capacity_Per_Day</w:t>
      </w:r>
      <w:proofErr w:type="spellEnd"/>
      <w:r>
        <w:t xml:space="preserve"> may be defined on a different scale than actual order volume in the source data — a known limitation of this measure, not a literal finding.</w:t>
      </w:r>
    </w:p>
    <w:p w14:paraId="27A6D863" w14:textId="77777777" w:rsidR="00C33DF6" w:rsidRDefault="00000000">
      <w:pPr>
        <w:pBdr>
          <w:bottom w:val="single" w:sz="12" w:space="6" w:color="C0392B"/>
        </w:pBdr>
        <w:spacing w:before="420" w:after="140"/>
      </w:pPr>
      <w:r>
        <w:rPr>
          <w:b/>
          <w:bCs/>
          <w:color w:val="C0392B"/>
          <w:sz w:val="30"/>
          <w:szCs w:val="30"/>
        </w:rPr>
        <w:lastRenderedPageBreak/>
        <w:t>Objective 5 — Order Economics, Discounts &amp; Risk</w:t>
      </w:r>
    </w:p>
    <w:p w14:paraId="46C81E96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Business Questions Addressed</w:t>
      </w:r>
    </w:p>
    <w:p w14:paraId="064A4B6B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Q19 —</w:t>
      </w:r>
      <w:r>
        <w:t xml:space="preserve"> Are higher discounts eroding Net Revenue per order?</w:t>
      </w:r>
    </w:p>
    <w:p w14:paraId="6B3C0310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Q20 —</w:t>
      </w:r>
      <w:r>
        <w:t xml:space="preserve"> Do cancelled/returned orders concentrate in particular regions?</w:t>
      </w:r>
    </w:p>
    <w:p w14:paraId="73393590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Dashboard Evidence</w:t>
      </w:r>
    </w:p>
    <w:p w14:paraId="74C8D12B" w14:textId="77777777" w:rsidR="00C33DF6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8859FE1" wp14:editId="1CEC7D7E">
            <wp:extent cx="6343650" cy="2438400"/>
            <wp:effectExtent l="0" t="0" r="0" b="0"/>
            <wp:docPr id="1494895619" name="Picture 1494895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4233" w14:textId="77777777" w:rsidR="00C33D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Order Economics, Discounts &amp; Risk page — Net Revenue by discount band, cancellation/return rate by region, order status split</w:t>
      </w:r>
    </w:p>
    <w:p w14:paraId="32B187CD" w14:textId="77777777" w:rsidR="00C33DF6" w:rsidRDefault="00000000">
      <w:pPr>
        <w:spacing w:before="220" w:after="90"/>
      </w:pPr>
      <w:r>
        <w:rPr>
          <w:b/>
          <w:bCs/>
          <w:sz w:val="23"/>
          <w:szCs w:val="23"/>
        </w:rPr>
        <w:t>Insights</w:t>
      </w:r>
    </w:p>
    <w:p w14:paraId="5FB3A52D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Discount band erodes revenue per order:</w:t>
      </w:r>
      <w:r>
        <w:t xml:space="preserve"> Average Net Revenue per order declines steadily as discount size increases — from roughly ₹540 with no discount, down through the Low and Medium bands, to about ₹430 at the High discount band. Heavier discounting measurably erodes the revenue retained per order rather than simply shifting where revenue comes from.</w:t>
      </w:r>
    </w:p>
    <w:p w14:paraId="09D4AA29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Cancellation risk is evenly spread across regions:</w:t>
      </w:r>
      <w:r>
        <w:t xml:space="preserve"> Cancelled/Returned rate sits within a narrow band (~6.8–7.0%) across Metropolitan, Urban, and Semi-Urban regions — no region stands out as a particular risk concentration, so a cancellation-reduction effort should be platform-wide rather than region-targeted.</w:t>
      </w:r>
    </w:p>
    <w:p w14:paraId="3E908F35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Order outcomes are overwhelmingly successful:</w:t>
      </w:r>
      <w:r>
        <w:t xml:space="preserve"> 93.03% of the 100K orders are Delivered, 4.95% are Cancelled, and the remaining ~2% are Returned. The vast majority of orders complete successfully; cancellations are the larger of the two loss categories and the more worthwhile one to monitor going forward.</w:t>
      </w:r>
    </w:p>
    <w:p w14:paraId="4AD2B374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Discount spend in context:</w:t>
      </w:r>
      <w:r>
        <w:t xml:space="preserve"> ₹2M in total </w:t>
      </w:r>
      <w:proofErr w:type="spellStart"/>
      <w:r>
        <w:t>Discount_Applied</w:t>
      </w:r>
      <w:proofErr w:type="spellEnd"/>
      <w:r>
        <w:t xml:space="preserve"> against 100K orders averages out to roughly ₹20 of discount per order platform-wide — useful context for weighing how much of the per-order revenue decline above is coming from discount depth versus discount frequency.</w:t>
      </w:r>
    </w:p>
    <w:p w14:paraId="103B42C2" w14:textId="77777777" w:rsidR="00C33DF6" w:rsidRDefault="00000000">
      <w:pPr>
        <w:pBdr>
          <w:bottom w:val="single" w:sz="12" w:space="6" w:color="C0392B"/>
        </w:pBdr>
        <w:spacing w:before="420" w:after="140"/>
      </w:pPr>
      <w:r>
        <w:rPr>
          <w:b/>
          <w:bCs/>
          <w:color w:val="C0392B"/>
          <w:sz w:val="30"/>
          <w:szCs w:val="30"/>
        </w:rPr>
        <w:t>Conclusion</w:t>
      </w:r>
    </w:p>
    <w:p w14:paraId="4C7CC93E" w14:textId="77777777" w:rsidR="00C33DF6" w:rsidRDefault="00000000">
      <w:pPr>
        <w:spacing w:after="140"/>
      </w:pPr>
      <w:r>
        <w:t>Across all five objectives, three themes recur consistently in both the Power BI dashboard (Objectives 1–4) and the supplementary Excel dashboard (Objective 5):</w:t>
      </w:r>
    </w:p>
    <w:p w14:paraId="6A413546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1. Demand and risk are evenly distributed, not regionally concentrated:</w:t>
      </w:r>
      <w:r>
        <w:t xml:space="preserve"> Order volume, net revenue, delivery time, and cancellation risk are all near-identical across Urban, Semi-Urban, and Metropolitan </w:t>
      </w:r>
      <w:r>
        <w:lastRenderedPageBreak/>
        <w:t>regions. No single region is under-served or over-performing enough to justify a region-first expansion or fix-it strategy — resourcing decisions should be applied platform-wide, not region-targeted.</w:t>
      </w:r>
    </w:p>
    <w:p w14:paraId="62A5B1E4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2. Where real gaps exist, they are allocation problems, not quality problems:</w:t>
      </w:r>
      <w:r>
        <w:t xml:space="preserve"> Restaurant rating stays flat regardless of utilization (Objective 4), and delivery time stays flat regardless of region or vehicle type (Objectives 1 &amp; 3) — yet a genuine two-tier gap does exist in Semi-Urban delivery-partner efficiency, and restaurant capacity utilization swings from under 1% to 142%. In both cases, the gap is explained by allocation and infrastructure, not by service quality.</w:t>
      </w:r>
    </w:p>
    <w:p w14:paraId="09A67483" w14:textId="77777777" w:rsidR="00C33DF6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3. The clearest business levers are seasonal timing and discount policy, not damage control:</w:t>
      </w:r>
      <w:r>
        <w:t xml:space="preserve"> Festival months lift order volume by ~20% (Objective 1), and discount band is clearly tied to lower Net Revenue per order, declining from ~₹540 to ~₹430 across bands (Objective 5) — both are known, quantified, and controllable. Meanwhile, a 70% repeat customer rate isn't yet converting into higher average order value (Objective 2), representing unrealized revenue upside rather than a risk.</w:t>
      </w:r>
    </w:p>
    <w:p w14:paraId="51D082A8" w14:textId="77777777" w:rsidR="00C33DF6" w:rsidRDefault="00000000">
      <w:pPr>
        <w:spacing w:after="140"/>
      </w:pPr>
      <w:r>
        <w:t>Overall, the data supports a platform-wide optimization strategy rather than a region-by-region intervention: tighten discount tiering to protect Net Revenue, target Semi-Urban delivery-partner training specifically, investigate demand-routing for underutilized restaurants, and design loyalty offers that raise basket size rather than only visit frequency. With Objective 5 now built out as its own Power BI page, all five Phase 3 objectives are represented in a single, unified dashboard.</w:t>
      </w:r>
    </w:p>
    <w:sectPr w:rsidR="00C33D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3CD4"/>
    <w:multiLevelType w:val="hybridMultilevel"/>
    <w:tmpl w:val="ADCA9BD4"/>
    <w:lvl w:ilvl="0" w:tplc="C2920CF4">
      <w:start w:val="1"/>
      <w:numFmt w:val="bullet"/>
      <w:lvlText w:val="•"/>
      <w:lvlJc w:val="left"/>
      <w:pPr>
        <w:ind w:left="450" w:hanging="260"/>
      </w:pPr>
    </w:lvl>
    <w:lvl w:ilvl="1" w:tplc="4D76F722">
      <w:numFmt w:val="decimal"/>
      <w:lvlText w:val=""/>
      <w:lvlJc w:val="left"/>
    </w:lvl>
    <w:lvl w:ilvl="2" w:tplc="63ECE2CE">
      <w:numFmt w:val="decimal"/>
      <w:lvlText w:val=""/>
      <w:lvlJc w:val="left"/>
    </w:lvl>
    <w:lvl w:ilvl="3" w:tplc="8D94FECA">
      <w:numFmt w:val="decimal"/>
      <w:lvlText w:val=""/>
      <w:lvlJc w:val="left"/>
    </w:lvl>
    <w:lvl w:ilvl="4" w:tplc="4DBEE7FA">
      <w:numFmt w:val="decimal"/>
      <w:lvlText w:val=""/>
      <w:lvlJc w:val="left"/>
    </w:lvl>
    <w:lvl w:ilvl="5" w:tplc="E540897A">
      <w:numFmt w:val="decimal"/>
      <w:lvlText w:val=""/>
      <w:lvlJc w:val="left"/>
    </w:lvl>
    <w:lvl w:ilvl="6" w:tplc="79AAE778">
      <w:numFmt w:val="decimal"/>
      <w:lvlText w:val=""/>
      <w:lvlJc w:val="left"/>
    </w:lvl>
    <w:lvl w:ilvl="7" w:tplc="6BA0659E">
      <w:numFmt w:val="decimal"/>
      <w:lvlText w:val=""/>
      <w:lvlJc w:val="left"/>
    </w:lvl>
    <w:lvl w:ilvl="8" w:tplc="EFB6AF7A">
      <w:numFmt w:val="decimal"/>
      <w:lvlText w:val=""/>
      <w:lvlJc w:val="left"/>
    </w:lvl>
  </w:abstractNum>
  <w:abstractNum w:abstractNumId="1" w15:restartNumberingAfterBreak="0">
    <w:nsid w:val="150C16CB"/>
    <w:multiLevelType w:val="hybridMultilevel"/>
    <w:tmpl w:val="BA6EAB28"/>
    <w:lvl w:ilvl="0" w:tplc="A5B20FCE">
      <w:start w:val="1"/>
      <w:numFmt w:val="bullet"/>
      <w:lvlText w:val="●"/>
      <w:lvlJc w:val="left"/>
      <w:pPr>
        <w:ind w:left="720" w:hanging="360"/>
      </w:pPr>
    </w:lvl>
    <w:lvl w:ilvl="1" w:tplc="9D9A945E">
      <w:start w:val="1"/>
      <w:numFmt w:val="bullet"/>
      <w:lvlText w:val="○"/>
      <w:lvlJc w:val="left"/>
      <w:pPr>
        <w:ind w:left="1440" w:hanging="360"/>
      </w:pPr>
    </w:lvl>
    <w:lvl w:ilvl="2" w:tplc="3D02C38A">
      <w:start w:val="1"/>
      <w:numFmt w:val="bullet"/>
      <w:lvlText w:val="■"/>
      <w:lvlJc w:val="left"/>
      <w:pPr>
        <w:ind w:left="2160" w:hanging="360"/>
      </w:pPr>
    </w:lvl>
    <w:lvl w:ilvl="3" w:tplc="196228AA">
      <w:start w:val="1"/>
      <w:numFmt w:val="bullet"/>
      <w:lvlText w:val="●"/>
      <w:lvlJc w:val="left"/>
      <w:pPr>
        <w:ind w:left="2880" w:hanging="360"/>
      </w:pPr>
    </w:lvl>
    <w:lvl w:ilvl="4" w:tplc="70328F9C">
      <w:start w:val="1"/>
      <w:numFmt w:val="bullet"/>
      <w:lvlText w:val="○"/>
      <w:lvlJc w:val="left"/>
      <w:pPr>
        <w:ind w:left="3600" w:hanging="360"/>
      </w:pPr>
    </w:lvl>
    <w:lvl w:ilvl="5" w:tplc="F224F3E0">
      <w:start w:val="1"/>
      <w:numFmt w:val="bullet"/>
      <w:lvlText w:val="■"/>
      <w:lvlJc w:val="left"/>
      <w:pPr>
        <w:ind w:left="4320" w:hanging="360"/>
      </w:pPr>
    </w:lvl>
    <w:lvl w:ilvl="6" w:tplc="68B67A58">
      <w:start w:val="1"/>
      <w:numFmt w:val="bullet"/>
      <w:lvlText w:val="●"/>
      <w:lvlJc w:val="left"/>
      <w:pPr>
        <w:ind w:left="5040" w:hanging="360"/>
      </w:pPr>
    </w:lvl>
    <w:lvl w:ilvl="7" w:tplc="237215D6">
      <w:start w:val="1"/>
      <w:numFmt w:val="bullet"/>
      <w:lvlText w:val="●"/>
      <w:lvlJc w:val="left"/>
      <w:pPr>
        <w:ind w:left="5760" w:hanging="360"/>
      </w:pPr>
    </w:lvl>
    <w:lvl w:ilvl="8" w:tplc="0D2CCCD4">
      <w:start w:val="1"/>
      <w:numFmt w:val="bullet"/>
      <w:lvlText w:val="●"/>
      <w:lvlJc w:val="left"/>
      <w:pPr>
        <w:ind w:left="6480" w:hanging="360"/>
      </w:pPr>
    </w:lvl>
  </w:abstractNum>
  <w:num w:numId="1" w16cid:durableId="638151922">
    <w:abstractNumId w:val="1"/>
    <w:lvlOverride w:ilvl="0">
      <w:startOverride w:val="1"/>
    </w:lvlOverride>
  </w:num>
  <w:num w:numId="2" w16cid:durableId="545793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DF6"/>
    <w:rsid w:val="001B262C"/>
    <w:rsid w:val="00232633"/>
    <w:rsid w:val="00C3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62A3"/>
  <w15:docId w15:val="{4D5EF7E2-D191-450E-BAFF-6956E136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1561</Words>
  <Characters>8902</Characters>
  <Application>Microsoft Office Word</Application>
  <DocSecurity>0</DocSecurity>
  <Lines>74</Lines>
  <Paragraphs>20</Paragraphs>
  <ScaleCrop>false</ScaleCrop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xavier vijay</cp:lastModifiedBy>
  <cp:revision>2</cp:revision>
  <dcterms:created xsi:type="dcterms:W3CDTF">2026-08-28T21:47:00Z</dcterms:created>
  <dcterms:modified xsi:type="dcterms:W3CDTF">2026-08-28T21:55:00Z</dcterms:modified>
</cp:coreProperties>
</file>