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F4E79"/>
          <w:sz w:val="32"/>
        </w:rPr>
        <w:t>ENTERTAINMENT PREFERENCES ANALYSIS</w:t>
      </w:r>
    </w:p>
    <w:p>
      <w:pPr>
        <w:spacing w:after="100"/>
        <w:jc w:val="center"/>
      </w:pPr>
      <w:r>
        <w:rPr>
          <w:i/>
          <w:color w:val="595959"/>
          <w:sz w:val="18"/>
        </w:rPr>
        <w:t>One-Page Project Overview | Data Analysis &amp; Visualization</w:t>
      </w:r>
    </w:p>
    <w:p>
      <w:pPr>
        <w:spacing w:before="60" w:after="20"/>
      </w:pPr>
      <w:r>
        <w:rPr>
          <w:b/>
          <w:color w:val="1F4E79"/>
          <w:sz w:val="18"/>
        </w:rPr>
        <w:t>1. INTRODUCTION</w:t>
      </w:r>
    </w:p>
    <w:p>
      <w:pPr>
        <w:spacing w:after="40"/>
      </w:pPr>
      <w:r>
        <w:t>Entertainment choices are shaped by age, interests, access to platforms, spending capacity and perceived value. This project studies entertainment consumption patterns among people aged 18–40 to identify popular entertainment types and platforms, understand weekly engagement and monthly expenditure, and examine whether subscription status is associated with satisfaction.</w:t>
      </w:r>
    </w:p>
    <w:p>
      <w:pPr>
        <w:spacing w:before="60" w:after="20"/>
      </w:pPr>
      <w:r>
        <w:rPr>
          <w:b/>
          <w:color w:val="1F4E79"/>
          <w:sz w:val="18"/>
        </w:rPr>
        <w:t>2. PROBLEM STATEMENT &amp; BUSINESS OBJECTIVE</w:t>
      </w:r>
    </w:p>
    <w:p>
      <w:pPr>
        <w:spacing w:after="40"/>
      </w:pPr>
      <w:r>
        <w:t>Entertainment providers need evidence about what audiences prefer, how much time and money they devote to entertainment, and which audience groups may respond to different offerings. The objective is to analyze preferences across demographic groups and turn the findings into practical guidance for content planning, audience targeting, subscription design and marketing.</w:t>
      </w:r>
    </w:p>
    <w:p>
      <w:pPr>
        <w:spacing w:before="60" w:after="20"/>
      </w:pPr>
      <w:r>
        <w:rPr>
          <w:b/>
          <w:color w:val="1F4E79"/>
          <w:sz w:val="18"/>
        </w:rPr>
        <w:t>3. KEY QUESTIONS</w:t>
      </w:r>
    </w:p>
    <w:p>
      <w:pPr>
        <w:spacing w:after="40"/>
      </w:pPr>
      <w:r>
        <w:t>The analysis investigates: (1) the most preferred entertainment type; (2) weekly hours spent on entertainment; (3) age-group differences in platform choice; (4) average monthly entertainment spending; (5) the relationship between subscription status and satisfaction; and (6) the association between weekly engagement and spending. The wider report also explores spending by region, gender and genre, and respondents’ education levels.</w:t>
      </w:r>
    </w:p>
    <w:p>
      <w:pPr>
        <w:spacing w:before="60" w:after="20"/>
      </w:pPr>
      <w:r>
        <w:rPr>
          <w:b/>
          <w:color w:val="1F4E79"/>
          <w:sz w:val="18"/>
        </w:rPr>
        <w:t>4. PROCESS / METHODOLOGY</w:t>
      </w:r>
    </w:p>
    <w:p>
      <w:pPr>
        <w:spacing w:after="40"/>
      </w:pPr>
      <w:r>
        <w:t>1) Data collection: compile structured survey responses from people aged 18–40.  2) Data preparation: inspect duplicates, missing values, naming consistency, data types and spending outliers. The project approach document lists these cleaning checks; the main report also notes that its initial dataset was already cleaned.  3) Analysis: use descriptive statistics (mean, median, mode, range, standard deviation and quartiles), frequency summaries, cross-tabulations and correlation to compare usage, platforms, spending and satisfaction.  4) Visualization: build pivot tables and bar, column, pie and scatter charts, with dashboard slicers for interactive exploration.  5) Interpretation: summarize patterns, limitations and business recommendations.</w:t>
      </w:r>
    </w:p>
    <w:p>
      <w:pPr>
        <w:spacing w:before="60" w:after="20"/>
      </w:pPr>
      <w:r>
        <w:rPr>
          <w:b/>
          <w:color w:val="1F4E79"/>
          <w:sz w:val="18"/>
        </w:rPr>
        <w:t>5. TOOLS USED</w:t>
      </w:r>
    </w:p>
    <w:p>
      <w:pPr>
        <w:spacing w:after="40"/>
      </w:pPr>
      <w:r>
        <w:t>Microsoft Excel, PivotTables, statistical measures, charts and an interactive dashboard with slicers.</w:t>
      </w:r>
    </w:p>
    <w:p>
      <w:pPr>
        <w:spacing w:before="60" w:after="20"/>
      </w:pPr>
      <w:r>
        <w:rPr>
          <w:b/>
          <w:color w:val="1F4E79"/>
          <w:sz w:val="18"/>
        </w:rPr>
        <w:t>6. WHAT THE PROJECT DOES / KEY FINDINGS</w:t>
      </w:r>
    </w:p>
    <w:p>
      <w:pPr>
        <w:spacing w:after="40"/>
      </w:pPr>
      <w:r>
        <w:t>The report indicates that respondents spend about 17.3 hours per week on entertainment and approximately ₹1,538 per month. Sports is the leading preferred entertainment type in the report’s category summary, while TV is reported as the most selected platform, closely followed by Spotify and YouTube. Free and paid respondents show broadly similar satisfaction patterns, with free users marginally higher in the reported results. The reported correlation between weekly hours and spending is about 0.074, which indicates a very weak positive relationship—not a strong predictor of spending.</w:t>
      </w:r>
    </w:p>
    <w:p>
      <w:pPr>
        <w:spacing w:before="60" w:after="20"/>
      </w:pPr>
      <w:r>
        <w:rPr>
          <w:b/>
          <w:color w:val="1F4E79"/>
          <w:sz w:val="18"/>
        </w:rPr>
        <w:t>7. WHY IT MATTERS / EXPECTED OUTCOME</w:t>
      </w:r>
    </w:p>
    <w:p>
      <w:pPr>
        <w:spacing w:after="40"/>
      </w:pPr>
      <w:r>
        <w:t>These insights can help entertainment businesses tailor content and promotions by audience segment, review premium subscription value, and plan engagement campaigns for light, medium and heavy users. The analysis supports data-informed decisions rather than relying only on assumptions; it describes associations in the survey and does not prove that age, subscription status or engagement causes a particular outcome.</w:t>
      </w:r>
    </w:p>
    <w:p>
      <w:pPr>
        <w:spacing w:before="60" w:after="20"/>
      </w:pPr>
      <w:r>
        <w:rPr>
          <w:b/>
          <w:color w:val="1F4E79"/>
          <w:sz w:val="18"/>
        </w:rPr>
        <w:t>8. DELIVERABLES</w:t>
      </w:r>
    </w:p>
    <w:p>
      <w:pPr>
        <w:spacing w:after="40"/>
      </w:pPr>
      <w:r>
        <w:t>A cleaned/validated survey dataset (where required), Excel PivotTables, summary statistics, comparative charts, an interactive dashboard, and a concise report/presentation containing insights and recommendations.</w:t>
      </w:r>
    </w:p>
    <w:p>
      <w:pPr>
        <w:spacing w:before="40" w:after="0"/>
      </w:pPr>
      <w:r>
        <w:rPr>
          <w:i/>
          <w:color w:val="646464"/>
          <w:sz w:val="15"/>
        </w:rPr>
        <w:t>Note: Source documents contain inconsistent sample-size references (150 responses in the project approach and 1,000 records in the analysis tables). Confirm the final dataset size before presenting.</w:t>
      </w:r>
    </w:p>
    <w:sectPr w:rsidR="00FC693F" w:rsidRPr="0006063C" w:rsidSect="00034616">
      <w:pgSz w:w="12240" w:h="15840"/>
      <w:pgMar w:top="691" w:right="893" w:bottom="648"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