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8"/>
      </w:tblGrid>
      <w:tr>
        <w:tc>
          <w:tcPr>
            <w:tcW w:type="dxa" w:w="10178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IPL Performance Analytics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F6C8A5"/>
                <w:sz w:val="20"/>
                <w:szCs w:val="20"/>
              </w:rPr>
              <w:t xml:space="preserve">Exploratory Data Analysis  |  Project Documentation</w:t>
            </w:r>
          </w:p>
        </w:tc>
      </w:tr>
    </w:tbl>
    <w:p>
      <w:pPr>
        <w:spacing w:after="20" w:before="80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Author: </w:t>
      </w:r>
      <w:r>
        <w:rPr>
          <w:rFonts w:ascii="Calibri" w:cs="Calibri" w:eastAsia="Calibri" w:hAnsi="Calibri"/>
          <w:sz w:val="18"/>
          <w:szCs w:val="18"/>
        </w:rPr>
        <w:t xml:space="preserve">Victor Xavier Vijay M     </w:t>
      </w: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Scope: </w:t>
      </w:r>
      <w:r>
        <w:rPr>
          <w:rFonts w:ascii="Calibri" w:cs="Calibri" w:eastAsia="Calibri" w:hAnsi="Calibri"/>
          <w:sz w:val="18"/>
          <w:szCs w:val="18"/>
        </w:rPr>
        <w:t xml:space="preserve">1,158 matches  •  134,190 deliveries  •  580 players  •  18 seasons  •  4,320 fan records</w:t>
      </w:r>
    </w:p>
    <w:p>
      <w:pPr>
        <w:pBdr>
          <w:bottom w:val="single" w:color="E8772E" w:sz="6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1. OVERVIEW &amp; OBJECTIVE</w:t>
      </w:r>
    </w:p>
    <w:p>
      <w:pPr>
        <w:spacing w:after="40" w:line="240"/>
        <w:jc w:val="both"/>
      </w:pPr>
      <w:r>
        <w:rPr>
          <w:rFonts w:ascii="Calibri" w:cs="Calibri" w:eastAsia="Calibri" w:hAnsi="Calibri"/>
          <w:sz w:val="18"/>
          <w:szCs w:val="18"/>
        </w:rPr>
        <w:t xml:space="preserve">This project is an end-to-end exploratory data analysis of the Indian Premier League, joining on-field performance (matches, ball-by-ball deliveries, players, seasons) with off-field fan engagement on season and team. The objective was to move from a raw data audit to evidence-based business insights, answering questions on toss strategy, auction valuation, venue effects, team success and fan monetisation, and to summarise them in an executive KPI dashboard.</w:t>
      </w:r>
    </w:p>
    <w:p>
      <w:pPr>
        <w:pBdr>
          <w:bottom w:val="single" w:color="E8772E" w:sz="6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2. DATASETS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6578"/>
      </w:tblGrid>
      <w:tr>
        <w:trPr>
          <w:tblHeader/>
        </w:trP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Rows × Cols</w:t>
            </w:r>
          </w:p>
        </w:tc>
        <w:tc>
          <w:tcPr>
            <w:tcW w:type="dxa" w:w="65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matches.csv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1,158 × 25</w:t>
            </w:r>
          </w:p>
        </w:tc>
        <w:tc>
          <w:tcPr>
            <w:tcW w:type="dxa" w:w="65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row per match: teams, toss, venue, scores, winner, margin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AF0F7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deliveries.csv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AF0F7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134,190 × 18</w:t>
            </w:r>
          </w:p>
        </w:tc>
        <w:tc>
          <w:tcPr>
            <w:tcW w:type="dxa" w:w="65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AF0F7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row per ball bowled; basis for player statistics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players.csv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580 × 12</w:t>
            </w:r>
          </w:p>
        </w:tc>
        <w:tc>
          <w:tcPr>
            <w:tcW w:type="dxa" w:w="65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row per player: role, nationality, auction price, career span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AF0F7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seasons.csv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AF0F7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 × 14</w:t>
            </w:r>
          </w:p>
        </w:tc>
        <w:tc>
          <w:tcPr>
            <w:tcW w:type="dxa" w:w="65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AF0F7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row per season: aggregated totals, champion, records</w:t>
            </w:r>
          </w:p>
        </w:tc>
      </w:tr>
      <w:tr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fan_trends.csv</w:t>
            </w:r>
          </w:p>
        </w:tc>
        <w:tc>
          <w:tcPr>
            <w:tcW w:type="dxa" w:w="1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4,320 × 25</w:t>
            </w:r>
          </w:p>
        </w:tc>
        <w:tc>
          <w:tcPr>
            <w:tcW w:type="dxa" w:w="65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Team-season-platform fan engagement, sentiment and trend records</w:t>
            </w:r>
          </w:p>
        </w:tc>
      </w:tr>
    </w:tbl>
    <w:p>
      <w:pPr>
        <w:pBdr>
          <w:bottom w:val="single" w:color="E8772E" w:sz="6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3. METHODOLOGY</w:t>
      </w:r>
    </w:p>
    <w:p>
      <w:pPr>
        <w:spacing w:after="40" w:line="240"/>
        <w:jc w:val="both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Audit and clean: </w:t>
      </w:r>
      <w:r>
        <w:rPr>
          <w:rFonts w:ascii="Calibri" w:cs="Calibri" w:eastAsia="Calibri" w:hAnsi="Calibri"/>
          <w:sz w:val="18"/>
          <w:szCs w:val="18"/>
        </w:rPr>
        <w:t xml:space="preserve">a reusable audit() function checked shape, duplicates, missing values and summary statistics; no duplicate rows were found, and missing values (e.g. extra_type, dismissal_type) were expected. </w:t>
      </w: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Feature engineering: </w:t>
      </w:r>
      <w:r>
        <w:rPr>
          <w:rFonts w:ascii="Calibri" w:cs="Calibri" w:eastAsia="Calibri" w:hAnsi="Calibri"/>
          <w:sz w:val="18"/>
          <w:szCs w:val="18"/>
        </w:rPr>
        <w:t xml:space="preserve">8 derived columns, including is_boundary, over_cluster (Powerplay/Middle/Death), chased_successfully, career_length and engagement_tier. </w:t>
      </w: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Analysis: </w:t>
      </w:r>
      <w:r>
        <w:rPr>
          <w:rFonts w:ascii="Calibri" w:cs="Calibri" w:eastAsia="Calibri" w:hAnsi="Calibri"/>
          <w:sz w:val="18"/>
          <w:szCs w:val="18"/>
        </w:rPr>
        <w:t xml:space="preserve">univariate, bivariate and multivariate views, team and player leaderboards, season and venue trends, statistical tests, outlier detection and a pivot table. Minimum-sample filters (100 balls faced, 300 balls bowled, 8–10 venue matches) prevent small-sample distortion.</w:t>
      </w:r>
    </w:p>
    <w:p>
      <w:pPr>
        <w:pBdr>
          <w:bottom w:val="single" w:color="E8772E" w:sz="6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4. KEY FINDINGS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Toss: </w:t>
      </w:r>
      <w:r>
        <w:rPr>
          <w:rFonts w:ascii="Calibri" w:cs="Calibri" w:eastAsia="Calibri" w:hAnsi="Calibri"/>
          <w:sz w:val="18"/>
          <w:szCs w:val="18"/>
        </w:rPr>
        <w:t xml:space="preserve">toss winners won only 46.9% of matches; batting first was the more common call (53.2%).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Scoring: </w:t>
      </w:r>
      <w:r>
        <w:rPr>
          <w:rFonts w:ascii="Calibri" w:cs="Calibri" w:eastAsia="Calibri" w:hAnsi="Calibri"/>
          <w:sz w:val="18"/>
          <w:szCs w:val="18"/>
        </w:rPr>
        <w:t xml:space="preserve">average first-innings score was 175.1 vs 155.8 in the second; defended totals averaged 182.6 vs 166.1 for successful chases. Average first-innings score fell from 183.1 to 168.7 across seasons.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Teams: </w:t>
      </w:r>
      <w:r>
        <w:rPr>
          <w:rFonts w:ascii="Calibri" w:cs="Calibri" w:eastAsia="Calibri" w:hAnsi="Calibri"/>
          <w:sz w:val="18"/>
          <w:szCs w:val="18"/>
        </w:rPr>
        <w:t xml:space="preserve">RCB lead in total wins (144) but have no titles; CSK and MI share the most titles (5 each), with KKR on 4.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Players: </w:t>
      </w:r>
      <w:r>
        <w:rPr>
          <w:rFonts w:ascii="Calibri" w:cs="Calibri" w:eastAsia="Calibri" w:hAnsi="Calibri"/>
          <w:sz w:val="18"/>
          <w:szCs w:val="18"/>
        </w:rPr>
        <w:t xml:space="preserve">Ajinkya Saha leads runs (1,043), Naveen Stubbs leads wickets (27), Mayank Padikkal has the top strike rate (256.9), Martin Gill has most Player-of-the-Match awards (9).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Auction: </w:t>
      </w:r>
      <w:r>
        <w:rPr>
          <w:rFonts w:ascii="Calibri" w:cs="Calibri" w:eastAsia="Calibri" w:hAnsi="Calibri"/>
          <w:sz w:val="18"/>
          <w:szCs w:val="18"/>
        </w:rPr>
        <w:t xml:space="preserve">price is right-skewed (mean ₹597L vs median ₹405L); capped All-Rounders fetch the most among capped players (₹671L); debutant prices fell from ₹605L to ₹449L.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Venues: </w:t>
      </w:r>
      <w:r>
        <w:rPr>
          <w:rFonts w:ascii="Calibri" w:cs="Calibri" w:eastAsia="Calibri" w:hAnsi="Calibri"/>
          <w:sz w:val="18"/>
          <w:szCs w:val="18"/>
        </w:rPr>
        <w:t xml:space="preserve">Chinnaswamy hosted the most matches (131); Navi Mumbai has the highest average first-innings score (197.5); day vs night scoring is essentially identical (175.3 vs 175.0).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Fans: </w:t>
      </w:r>
      <w:r>
        <w:rPr>
          <w:rFonts w:ascii="Calibri" w:cs="Calibri" w:eastAsia="Calibri" w:hAnsi="Calibri"/>
          <w:sz w:val="18"/>
          <w:szCs w:val="18"/>
        </w:rPr>
        <w:t xml:space="preserve">sentiment is 70.6% Negative and 29.4% Neutral, with no Positive records. Engagement is flat across platforms (about 14%) and teams.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Outliers: </w:t>
      </w:r>
      <w:r>
        <w:rPr>
          <w:rFonts w:ascii="Calibri" w:cs="Calibri" w:eastAsia="Calibri" w:hAnsi="Calibri"/>
          <w:sz w:val="18"/>
          <w:szCs w:val="18"/>
        </w:rPr>
        <w:t xml:space="preserve">217 matches (about 19%) scored above 220; 216 posts were classed as viral (top 5% of engagement).</w:t>
      </w:r>
    </w:p>
    <w:p>
      <w:pPr>
        <w:pBdr>
          <w:bottom w:val="single" w:color="E8772E" w:sz="6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5. STATISTICAL TESTING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300"/>
        <w:gridCol w:w="4578"/>
      </w:tblGrid>
      <w:tr>
        <w:trPr>
          <w:tblHeader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5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Chi-square: toss decision vs result</w:t>
            </w:r>
          </w:p>
        </w:tc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χ² = 0.098, p = 0.754</w:t>
            </w:r>
          </w:p>
        </w:tc>
        <w:tc>
          <w:tcPr>
            <w:tcW w:type="dxa" w:w="45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Independent: the toss does not influence the result</w:t>
            </w:r>
          </w:p>
        </w:tc>
      </w:tr>
      <w:t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AF0F7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Pearson: career length vs auction price</w:t>
            </w:r>
          </w:p>
        </w:tc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AF0F7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 = −0.064, p = 0.121</w:t>
            </w:r>
          </w:p>
        </w:tc>
        <w:tc>
          <w:tcPr>
            <w:tcW w:type="dxa" w:w="45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AF0F7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significant: experience alone does not set price</w:t>
            </w:r>
          </w:p>
        </w:tc>
      </w:tr>
      <w:t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Pearson: win % vs popularity index</w:t>
            </w:r>
          </w:p>
        </w:tc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 = 0.878</w:t>
            </w:r>
          </w:p>
        </w:tc>
        <w:tc>
          <w:tcPr>
            <w:tcW w:type="dxa" w:w="45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Strong: winning teams become more popular</w:t>
            </w:r>
          </w:p>
        </w:tc>
      </w:tr>
    </w:tbl>
    <w:p>
      <w:pPr>
        <w:pBdr>
          <w:bottom w:val="single" w:color="E8772E" w:sz="6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6. BUSINESS RECOMMENDATIONS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Toss strategy: </w:t>
      </w:r>
      <w:r>
        <w:rPr>
          <w:rFonts w:ascii="Calibri" w:cs="Calibri" w:eastAsia="Calibri" w:hAnsi="Calibri"/>
          <w:sz w:val="18"/>
          <w:szCs w:val="18"/>
        </w:rPr>
        <w:t xml:space="preserve">do not over-index on the toss; team composition and conditions matter more.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Auction valuation: </w:t>
      </w:r>
      <w:r>
        <w:rPr>
          <w:rFonts w:ascii="Calibri" w:cs="Calibri" w:eastAsia="Calibri" w:hAnsi="Calibri"/>
          <w:sz w:val="18"/>
          <w:szCs w:val="18"/>
        </w:rPr>
        <w:t xml:space="preserve">price role by role from current form, not from career length or cap status alone.</w:t>
      </w:r>
    </w:p>
    <w:p>
      <w:pPr>
        <w:pStyle w:val="ListParagraph"/>
        <w:numPr>
          <w:ilvl w:val="0"/>
          <w:numId w:val="2"/>
        </w:numPr>
        <w:spacing w:after="25" w:line="235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Fan monetisation: </w:t>
      </w:r>
      <w:r>
        <w:rPr>
          <w:rFonts w:ascii="Calibri" w:cs="Calibri" w:eastAsia="Calibri" w:hAnsi="Calibri"/>
          <w:sz w:val="18"/>
          <w:szCs w:val="18"/>
        </w:rPr>
        <w:t xml:space="preserve">winning builds brand value, not clicks; pursue engagement independently and choose platforms by audience fit.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color w:val="1F3A5F"/>
          <w:sz w:val="17"/>
          <w:szCs w:val="17"/>
        </w:rPr>
        <w:t xml:space="preserve">Tools: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Python (pandas, seaborn, matplotlib, scipy)  |  28 figures across 15 sections  |  Chi-square and Pearson correlation tests</w:t>
      </w:r>
    </w:p>
    <w:sectPr>
      <w:pgSz w:w="11906" w:h="16838" w:orient="portrait"/>
      <w:pgMar w:top="600" w:right="864" w:bottom="50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E877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2026-10-21T09:44:59.441Z</dcterms:created>
  <dcterms:modified xsi:type="dcterms:W3CDTF">2026-10-21T09:44:59.446Z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