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DCD0" w14:textId="4B94E6BC" w:rsidR="00C14938" w:rsidRPr="006B49B5" w:rsidRDefault="00C14938" w:rsidP="00C14938">
      <w:pPr>
        <w:rPr>
          <w:b/>
          <w:bCs/>
          <w:u w:val="single"/>
        </w:rPr>
      </w:pPr>
      <w:r w:rsidRPr="006B49B5">
        <w:rPr>
          <w:b/>
          <w:bCs/>
          <w:u w:val="single"/>
        </w:rPr>
        <w:t xml:space="preserve">Unit 1 | Assignment - </w:t>
      </w:r>
      <w:proofErr w:type="spellStart"/>
      <w:r w:rsidRPr="006B49B5">
        <w:rPr>
          <w:b/>
          <w:bCs/>
          <w:u w:val="single"/>
        </w:rPr>
        <w:t>KickStart</w:t>
      </w:r>
      <w:proofErr w:type="spellEnd"/>
      <w:r w:rsidRPr="006B49B5">
        <w:rPr>
          <w:b/>
          <w:bCs/>
          <w:u w:val="single"/>
        </w:rPr>
        <w:t xml:space="preserve"> My Chart</w:t>
      </w:r>
      <w:r w:rsidR="00677512" w:rsidRPr="006B49B5">
        <w:rPr>
          <w:b/>
          <w:bCs/>
          <w:u w:val="single"/>
        </w:rPr>
        <w:t xml:space="preserve"> Analysis (Victor Yamaykin)</w:t>
      </w:r>
    </w:p>
    <w:p w14:paraId="5CE22724" w14:textId="77777777" w:rsidR="00C14938" w:rsidRDefault="00C14938" w:rsidP="006B49B5">
      <w:pPr>
        <w:pStyle w:val="ListParagraph"/>
        <w:numPr>
          <w:ilvl w:val="0"/>
          <w:numId w:val="4"/>
        </w:numPr>
      </w:pPr>
      <w:r>
        <w:t>What are three conclusions we can make about Kickstarter campaigns given the provided data?</w:t>
      </w:r>
    </w:p>
    <w:p w14:paraId="6B0480B1" w14:textId="77777777" w:rsidR="00C14938" w:rsidRDefault="00C14938" w:rsidP="006B49B5">
      <w:pPr>
        <w:pStyle w:val="ListParagraph"/>
        <w:numPr>
          <w:ilvl w:val="0"/>
          <w:numId w:val="4"/>
        </w:numPr>
      </w:pPr>
      <w:r>
        <w:t>What are some of the limitations of this dataset?</w:t>
      </w:r>
    </w:p>
    <w:p w14:paraId="10384AB0" w14:textId="4F5969FB" w:rsidR="00C14938" w:rsidRDefault="00C14938" w:rsidP="006B49B5">
      <w:pPr>
        <w:pStyle w:val="ListParagraph"/>
        <w:numPr>
          <w:ilvl w:val="0"/>
          <w:numId w:val="4"/>
        </w:numPr>
      </w:pPr>
      <w:r>
        <w:t>What are some other possible tables/graphs that we could create?</w:t>
      </w:r>
    </w:p>
    <w:p w14:paraId="785A3DB4" w14:textId="17E4F906" w:rsidR="00A04EE4" w:rsidRPr="002F5FA0" w:rsidRDefault="006B49B5" w:rsidP="002F5FA0">
      <w:pPr>
        <w:rPr>
          <w:u w:val="single"/>
        </w:rPr>
      </w:pPr>
      <w:r w:rsidRPr="006B49B5">
        <w:rPr>
          <w:u w:val="single"/>
        </w:rPr>
        <w:t>Conclusions:</w:t>
      </w:r>
    </w:p>
    <w:p w14:paraId="55828C18" w14:textId="2F9C7772" w:rsidR="00717CF6" w:rsidRDefault="00717CF6" w:rsidP="00A04EE4">
      <w:pPr>
        <w:pStyle w:val="ListParagraph"/>
        <w:numPr>
          <w:ilvl w:val="0"/>
          <w:numId w:val="6"/>
        </w:numPr>
      </w:pPr>
      <w:r>
        <w:t>Theater and plays were by far the most successful category and sub-category</w:t>
      </w:r>
      <w:r w:rsidR="00826B0B">
        <w:t xml:space="preserve"> across countries and years</w:t>
      </w:r>
      <w:r w:rsidR="00E445E4">
        <w:t xml:space="preserve">. </w:t>
      </w:r>
    </w:p>
    <w:p w14:paraId="5E5F3C60" w14:textId="0A6F3B14" w:rsidR="00EE4166" w:rsidRDefault="002F5FA0" w:rsidP="00E445E4">
      <w:pPr>
        <w:pStyle w:val="ListParagraph"/>
      </w:pPr>
      <w:r>
        <w:rPr>
          <w:noProof/>
        </w:rPr>
        <w:drawing>
          <wp:inline distT="0" distB="0" distL="0" distR="0" wp14:anchorId="71559040" wp14:editId="240ECABB">
            <wp:extent cx="5151120" cy="2804160"/>
            <wp:effectExtent l="0" t="0" r="1143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60CC87-E836-4AD3-B9CE-E910CF38FD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3A1BF8" w14:textId="2FE6718F" w:rsidR="002F5FA0" w:rsidRDefault="002F5FA0" w:rsidP="00E445E4">
      <w:pPr>
        <w:pStyle w:val="ListParagraph"/>
      </w:pPr>
      <w:r>
        <w:rPr>
          <w:noProof/>
        </w:rPr>
        <w:drawing>
          <wp:inline distT="0" distB="0" distL="0" distR="0" wp14:anchorId="369F511E" wp14:editId="17125DA7">
            <wp:extent cx="5143500" cy="28651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1285FE3-58C4-45BD-BB35-B22A57DD32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6E555A" w14:textId="77777777" w:rsidR="00E445E4" w:rsidRDefault="00E445E4" w:rsidP="00E445E4">
      <w:pPr>
        <w:pStyle w:val="ListParagraph"/>
      </w:pPr>
    </w:p>
    <w:p w14:paraId="34275349" w14:textId="7784225B" w:rsidR="00717CF6" w:rsidRDefault="00717CF6" w:rsidP="00A04EE4">
      <w:pPr>
        <w:pStyle w:val="ListParagraph"/>
        <w:numPr>
          <w:ilvl w:val="0"/>
          <w:numId w:val="6"/>
        </w:numPr>
      </w:pPr>
      <w:r>
        <w:t>There appears to be some seasonality to the success of projects</w:t>
      </w:r>
      <w:r w:rsidR="002F5FA0">
        <w:t xml:space="preserve"> launched in</w:t>
      </w:r>
      <w:r w:rsidR="0043187D">
        <w:t xml:space="preserve"> </w:t>
      </w:r>
      <w:r>
        <w:t>May</w:t>
      </w:r>
      <w:r w:rsidR="0043187D">
        <w:t xml:space="preserve"> being one of the months with the highest number of successful projects over the years. </w:t>
      </w:r>
    </w:p>
    <w:p w14:paraId="6E435D34" w14:textId="7130C548" w:rsidR="00EF31EF" w:rsidRDefault="002F5FA0" w:rsidP="00EF31EF">
      <w:pPr>
        <w:pStyle w:val="ListParagraph"/>
      </w:pPr>
      <w:r>
        <w:rPr>
          <w:noProof/>
        </w:rPr>
        <w:lastRenderedPageBreak/>
        <w:drawing>
          <wp:inline distT="0" distB="0" distL="0" distR="0" wp14:anchorId="31F61E23" wp14:editId="0F3C7202">
            <wp:extent cx="4892040" cy="2811780"/>
            <wp:effectExtent l="0" t="0" r="381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577DE25-A346-494C-8C4D-307025E74A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70D4075" w14:textId="77777777" w:rsidR="002F5FA0" w:rsidRDefault="002F5FA0" w:rsidP="00EF31EF">
      <w:pPr>
        <w:pStyle w:val="ListParagraph"/>
      </w:pPr>
    </w:p>
    <w:p w14:paraId="3B2E26E1" w14:textId="35575F84" w:rsidR="002F5FA0" w:rsidRDefault="00FD0A1E" w:rsidP="002F5FA0">
      <w:pPr>
        <w:pStyle w:val="ListParagraph"/>
        <w:numPr>
          <w:ilvl w:val="0"/>
          <w:numId w:val="6"/>
        </w:numPr>
      </w:pPr>
      <w:r>
        <w:t xml:space="preserve">There is a negative relationship between goal amount and number of successful projects. Roughly 74% of the outcomes can be explained by a linear regression. </w:t>
      </w:r>
    </w:p>
    <w:p w14:paraId="6DBA7A79" w14:textId="40FFF869" w:rsidR="00E445E4" w:rsidRDefault="00FD0A1E" w:rsidP="00FD0A1E">
      <w:pPr>
        <w:pStyle w:val="ListParagraph"/>
      </w:pPr>
      <w:r>
        <w:rPr>
          <w:noProof/>
        </w:rPr>
        <w:drawing>
          <wp:inline distT="0" distB="0" distL="0" distR="0" wp14:anchorId="22AA674C" wp14:editId="01BFF5FB">
            <wp:extent cx="5234940" cy="3550920"/>
            <wp:effectExtent l="0" t="0" r="381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08A9AA7-B0D4-4D8E-8D36-91D63551EC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BEFAE0" w14:textId="632FCC82" w:rsidR="00717CF6" w:rsidRPr="006B49B5" w:rsidRDefault="00717CF6" w:rsidP="00717CF6">
      <w:pPr>
        <w:rPr>
          <w:u w:val="single"/>
        </w:rPr>
      </w:pPr>
      <w:r w:rsidRPr="006B49B5">
        <w:rPr>
          <w:u w:val="single"/>
        </w:rPr>
        <w:t xml:space="preserve">Limitations: </w:t>
      </w:r>
    </w:p>
    <w:p w14:paraId="5F3A7822" w14:textId="36E99C9A" w:rsidR="00594FC4" w:rsidRDefault="00594FC4" w:rsidP="00594FC4">
      <w:pPr>
        <w:ind w:firstLine="720"/>
      </w:pPr>
      <w:r>
        <w:t>The Kickstarter dataset has a couple limitations. Firstly, how do we define a successful or failed project? Sometimes the product advertised does not get delivered or otherwise takes many months after reaching their goal(s).  Secondly, there is a lack of</w:t>
      </w:r>
      <w:r w:rsidR="00717CF6">
        <w:t xml:space="preserve"> data</w:t>
      </w:r>
      <w:r>
        <w:t xml:space="preserve"> from social media. We could collect data on which </w:t>
      </w:r>
      <w:r w:rsidR="00717CF6">
        <w:t>projects had YouTube commercials</w:t>
      </w:r>
      <w:r>
        <w:t xml:space="preserve"> and the</w:t>
      </w:r>
      <w:r w:rsidR="00BD0BAA">
        <w:t xml:space="preserve"> projects</w:t>
      </w:r>
      <w:r>
        <w:t>’</w:t>
      </w:r>
      <w:r w:rsidR="00BD0BAA">
        <w:t xml:space="preserve"> popularity on </w:t>
      </w:r>
      <w:r>
        <w:t>T</w:t>
      </w:r>
      <w:r w:rsidR="00BD0BAA">
        <w:t xml:space="preserve">witter and other social </w:t>
      </w:r>
      <w:r w:rsidR="00BD0BAA">
        <w:lastRenderedPageBreak/>
        <w:t>media</w:t>
      </w:r>
      <w:r>
        <w:t xml:space="preserve">. </w:t>
      </w:r>
      <w:r w:rsidR="006B49B5">
        <w:t>There was a team in Switzerland that built a prediction model that uses this</w:t>
      </w:r>
      <w:r w:rsidR="00DB129A">
        <w:t xml:space="preserve"> social media</w:t>
      </w:r>
      <w:r w:rsidR="006B49B5">
        <w:t xml:space="preserve"> data</w:t>
      </w:r>
      <w:r w:rsidR="00826B0B">
        <w:t xml:space="preserve"> and other variables like the rate of donations</w:t>
      </w:r>
      <w:r w:rsidR="006B49B5">
        <w:t xml:space="preserve"> </w:t>
      </w:r>
      <w:r w:rsidR="000D139E">
        <w:t>(</w:t>
      </w:r>
      <w:hyperlink r:id="rId9" w:history="1">
        <w:r w:rsidR="006B49B5" w:rsidRPr="00CE6CE9">
          <w:rPr>
            <w:rStyle w:val="Hyperlink"/>
          </w:rPr>
          <w:t>https://www.popsci.com/g00/article/science/tool-accurately-predicts-whether-kickstarter-project-will-bomb</w:t>
        </w:r>
      </w:hyperlink>
      <w:r w:rsidR="000D139E">
        <w:t>)</w:t>
      </w:r>
      <w:r w:rsidR="006B49B5">
        <w:t>.</w:t>
      </w:r>
      <w:r>
        <w:t xml:space="preserve"> They </w:t>
      </w:r>
      <w:r w:rsidR="00826B0B">
        <w:t xml:space="preserve">claim to have </w:t>
      </w:r>
      <w:r>
        <w:t xml:space="preserve">76% accuracy predicting which projects would succeed </w:t>
      </w:r>
      <w:r w:rsidR="00826B0B">
        <w:t xml:space="preserve">within four hours of launch. </w:t>
      </w:r>
    </w:p>
    <w:p w14:paraId="50F0C53C" w14:textId="358FAFD7" w:rsidR="00826B0B" w:rsidRDefault="00826B0B" w:rsidP="00594FC4">
      <w:pPr>
        <w:ind w:firstLine="720"/>
      </w:pPr>
      <w:r>
        <w:t xml:space="preserve">Other factors to consider include the types of stretch goals offered and what kind of marketing that each project had before and during their pledge drive. We could take a closer look at the types of advertising outside of spotlight and staff picks. </w:t>
      </w:r>
    </w:p>
    <w:p w14:paraId="075BF245" w14:textId="1CEDCF6E" w:rsidR="00717CF6" w:rsidRPr="006B49B5" w:rsidRDefault="00717CF6" w:rsidP="00717CF6">
      <w:pPr>
        <w:rPr>
          <w:u w:val="single"/>
        </w:rPr>
      </w:pPr>
      <w:r w:rsidRPr="006B49B5">
        <w:rPr>
          <w:u w:val="single"/>
        </w:rPr>
        <w:t>Other tables:</w:t>
      </w:r>
    </w:p>
    <w:p w14:paraId="54153EB1" w14:textId="15D1DD1A" w:rsidR="00375676" w:rsidRDefault="00787BEA" w:rsidP="00DB129A">
      <w:pPr>
        <w:ind w:firstLine="720"/>
      </w:pPr>
      <w:r>
        <w:t xml:space="preserve">We </w:t>
      </w:r>
      <w:r w:rsidR="003A159F">
        <w:t xml:space="preserve">have the option with this data to make a comparison using two or more pivot tables. We might use this method to determine </w:t>
      </w:r>
      <w:r w:rsidR="00375676">
        <w:t>which country had more successful projects in a particular category</w:t>
      </w:r>
      <w:r w:rsidR="003A159F">
        <w:t>.</w:t>
      </w:r>
      <w:r w:rsidR="00375676">
        <w:t xml:space="preserve"> I found</w:t>
      </w:r>
      <w:r w:rsidR="002967B6">
        <w:t xml:space="preserve"> that projects with staff picks and spotlights were</w:t>
      </w:r>
      <w:r w:rsidR="00A54A5C">
        <w:t xml:space="preserve"> more</w:t>
      </w:r>
      <w:r w:rsidR="002967B6">
        <w:t xml:space="preserve"> likely to succeed. They had a 12% success rate in this dataset. </w:t>
      </w:r>
      <w:r w:rsidR="003A159F">
        <w:t xml:space="preserve"> </w:t>
      </w:r>
      <w:bookmarkStart w:id="0" w:name="_GoBack"/>
      <w:bookmarkEnd w:id="0"/>
    </w:p>
    <w:p w14:paraId="1DCF109C" w14:textId="61E42FAE" w:rsidR="00717CF6" w:rsidRDefault="00826B0B" w:rsidP="00DB129A">
      <w:pPr>
        <w:ind w:firstLine="720"/>
      </w:pPr>
      <w:r>
        <w:t xml:space="preserve">We could </w:t>
      </w:r>
      <w:r w:rsidR="003A159F">
        <w:t xml:space="preserve">also gather more data </w:t>
      </w:r>
      <w:r w:rsidR="006B49B5">
        <w:t xml:space="preserve">by </w:t>
      </w:r>
      <w:r w:rsidR="003A159F">
        <w:t xml:space="preserve">identifying the </w:t>
      </w:r>
      <w:r w:rsidR="006B49B5">
        <w:t>genre</w:t>
      </w:r>
      <w:r w:rsidR="003A159F">
        <w:t xml:space="preserve"> of each project</w:t>
      </w:r>
      <w:r w:rsidR="00DB129A">
        <w:t xml:space="preserve">. For example, we could </w:t>
      </w:r>
      <w:r w:rsidR="00A40EE0">
        <w:t>research the genre of each of the</w:t>
      </w:r>
      <w:r w:rsidR="00DB129A">
        <w:t xml:space="preserve"> plays and television shows to determine which genres had the greatest number of successful projects. </w:t>
      </w:r>
      <w:r w:rsidR="0083400C">
        <w:t xml:space="preserve">That variable may help to predict whether or not a certain project will meet their goal. </w:t>
      </w:r>
    </w:p>
    <w:sectPr w:rsidR="0071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5AE1"/>
    <w:multiLevelType w:val="hybridMultilevel"/>
    <w:tmpl w:val="4B820BE4"/>
    <w:lvl w:ilvl="0" w:tplc="DD0840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A85714"/>
    <w:multiLevelType w:val="hybridMultilevel"/>
    <w:tmpl w:val="9A5E7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5AB2"/>
    <w:multiLevelType w:val="hybridMultilevel"/>
    <w:tmpl w:val="62B40652"/>
    <w:lvl w:ilvl="0" w:tplc="DD0840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D04B9"/>
    <w:multiLevelType w:val="hybridMultilevel"/>
    <w:tmpl w:val="A3464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B237DF"/>
    <w:multiLevelType w:val="hybridMultilevel"/>
    <w:tmpl w:val="677C8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902CA5"/>
    <w:multiLevelType w:val="hybridMultilevel"/>
    <w:tmpl w:val="18A4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38"/>
    <w:rsid w:val="000D139E"/>
    <w:rsid w:val="001B74E2"/>
    <w:rsid w:val="002967B6"/>
    <w:rsid w:val="002F5FA0"/>
    <w:rsid w:val="00375676"/>
    <w:rsid w:val="003A159F"/>
    <w:rsid w:val="0043187D"/>
    <w:rsid w:val="00594FC4"/>
    <w:rsid w:val="00677512"/>
    <w:rsid w:val="006B49B5"/>
    <w:rsid w:val="00717CF6"/>
    <w:rsid w:val="00782047"/>
    <w:rsid w:val="00787BEA"/>
    <w:rsid w:val="00790179"/>
    <w:rsid w:val="00826B0B"/>
    <w:rsid w:val="0083400C"/>
    <w:rsid w:val="00A04EE4"/>
    <w:rsid w:val="00A40EE0"/>
    <w:rsid w:val="00A54A5C"/>
    <w:rsid w:val="00B82752"/>
    <w:rsid w:val="00BD0BAA"/>
    <w:rsid w:val="00C14938"/>
    <w:rsid w:val="00D51C05"/>
    <w:rsid w:val="00D679A8"/>
    <w:rsid w:val="00D71482"/>
    <w:rsid w:val="00DB129A"/>
    <w:rsid w:val="00E445E4"/>
    <w:rsid w:val="00EE4166"/>
    <w:rsid w:val="00EF31EF"/>
    <w:rsid w:val="00FD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9734"/>
  <w15:chartTrackingRefBased/>
  <w15:docId w15:val="{B372F2D8-EDB9-450A-A439-573AAA2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psci.com/g00/article/science/tool-accurately-predicts-whether-kickstarter-project-will-bomb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d24bdf88344686a/Documents/GITLAB/Week1/StarterBook_va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d24bdf88344686a/Documents/GITLAB/Week1/StarterBook_va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d24bdf88344686a/Documents/GITLAB/Week1/StarterBook_va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d24bdf88344686a/Documents/GITLAB/Week1/StarterBook_va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[StarterBook_vay.xlsx]Category Outcomes!PivotTable6</c:name>
    <c:fmtId val="7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Kickstarter project</a:t>
            </a:r>
            <a:r>
              <a:rPr lang="en-US" baseline="0"/>
              <a:t> outcomes </a:t>
            </a:r>
            <a:r>
              <a:rPr lang="en-US"/>
              <a:t>by category for all countries (2009-2017)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Outcomes'!$B$4:$B$5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Outcomes'!$A$6:$A$15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Outcomes'!$B$6:$B$15</c:f>
              <c:numCache>
                <c:formatCode>General</c:formatCode>
                <c:ptCount val="9"/>
                <c:pt idx="0">
                  <c:v>31</c:v>
                </c:pt>
                <c:pt idx="1">
                  <c:v>15</c:v>
                </c:pt>
                <c:pt idx="3">
                  <c:v>23</c:v>
                </c:pt>
                <c:pt idx="4">
                  <c:v>19</c:v>
                </c:pt>
                <c:pt idx="6">
                  <c:v>22</c:v>
                </c:pt>
                <c:pt idx="7">
                  <c:v>121</c:v>
                </c:pt>
                <c:pt idx="8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5B-42BE-9180-6B043CA15C48}"/>
            </c:ext>
          </c:extLst>
        </c:ser>
        <c:ser>
          <c:idx val="1"/>
          <c:order val="1"/>
          <c:tx>
            <c:strRef>
              <c:f>'Category Outcomes'!$C$4:$C$5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'Category Outcomes'!$A$6:$A$15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Outcomes'!$C$6:$C$15</c:f>
              <c:numCache>
                <c:formatCode>General</c:formatCode>
                <c:ptCount val="9"/>
                <c:pt idx="0">
                  <c:v>130</c:v>
                </c:pt>
                <c:pt idx="1">
                  <c:v>115</c:v>
                </c:pt>
                <c:pt idx="2">
                  <c:v>96</c:v>
                </c:pt>
                <c:pt idx="4">
                  <c:v>110</c:v>
                </c:pt>
                <c:pt idx="5">
                  <c:v>72</c:v>
                </c:pt>
                <c:pt idx="6">
                  <c:v>87</c:v>
                </c:pt>
                <c:pt idx="7">
                  <c:v>138</c:v>
                </c:pt>
                <c:pt idx="8">
                  <c:v>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5B-42BE-9180-6B043CA15C48}"/>
            </c:ext>
          </c:extLst>
        </c:ser>
        <c:ser>
          <c:idx val="2"/>
          <c:order val="2"/>
          <c:tx>
            <c:strRef>
              <c:f>'Category Outcomes'!$D$4:$D$5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'Category Outcomes'!$A$6:$A$15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Outcomes'!$D$6:$D$15</c:f>
              <c:numCache>
                <c:formatCode>General</c:formatCode>
                <c:ptCount val="9"/>
                <c:pt idx="1">
                  <c:v>4</c:v>
                </c:pt>
                <c:pt idx="4">
                  <c:v>17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5B-42BE-9180-6B043CA15C48}"/>
            </c:ext>
          </c:extLst>
        </c:ser>
        <c:ser>
          <c:idx val="3"/>
          <c:order val="3"/>
          <c:tx>
            <c:strRef>
              <c:f>'Category Outcomes'!$E$4:$E$5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Outcomes'!$A$6:$A$15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Outcomes'!$E$6:$E$15</c:f>
              <c:numCache>
                <c:formatCode>General</c:formatCode>
                <c:ptCount val="9"/>
                <c:pt idx="0">
                  <c:v>261</c:v>
                </c:pt>
                <c:pt idx="1">
                  <c:v>34</c:v>
                </c:pt>
                <c:pt idx="2">
                  <c:v>52</c:v>
                </c:pt>
                <c:pt idx="4">
                  <c:v>490</c:v>
                </c:pt>
                <c:pt idx="5">
                  <c:v>62</c:v>
                </c:pt>
                <c:pt idx="6">
                  <c:v>69</c:v>
                </c:pt>
                <c:pt idx="7">
                  <c:v>158</c:v>
                </c:pt>
                <c:pt idx="8">
                  <c:v>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5B-42BE-9180-6B043CA15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18068560"/>
        <c:axId val="818067248"/>
      </c:barChart>
      <c:catAx>
        <c:axId val="818068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067248"/>
        <c:crosses val="autoZero"/>
        <c:auto val="1"/>
        <c:lblAlgn val="ctr"/>
        <c:lblOffset val="100"/>
        <c:noMultiLvlLbl val="0"/>
      </c:catAx>
      <c:valAx>
        <c:axId val="81806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06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[StarterBook_vay.xlsx]Sub-category Outcomes!PivotTable10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Kickstarter project outcomes by sub-category for all countries (2009-2017)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 Outcomes'!$B$4:$B$5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 Outcomes'!$A$6:$A$47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Outcomes'!$B$6:$B$47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5C-4D17-A8AC-2BB2A981BB78}"/>
            </c:ext>
          </c:extLst>
        </c:ser>
        <c:ser>
          <c:idx val="1"/>
          <c:order val="1"/>
          <c:tx>
            <c:strRef>
              <c:f>'Sub-category Outcomes'!$C$4:$C$5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 Outcomes'!$A$6:$A$47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Outcomes'!$C$6:$C$47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5C-4D17-A8AC-2BB2A981BB78}"/>
            </c:ext>
          </c:extLst>
        </c:ser>
        <c:ser>
          <c:idx val="2"/>
          <c:order val="2"/>
          <c:tx>
            <c:strRef>
              <c:f>'Sub-category Outcomes'!$D$4:$D$5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'Sub-category Outcomes'!$A$6:$A$47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Outcomes'!$D$6:$D$47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5C-4D17-A8AC-2BB2A981BB78}"/>
            </c:ext>
          </c:extLst>
        </c:ser>
        <c:ser>
          <c:idx val="3"/>
          <c:order val="3"/>
          <c:tx>
            <c:strRef>
              <c:f>'Sub-category Outcomes'!$E$4:$E$5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'Sub-category Outcomes'!$A$6:$A$47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Outcomes'!$E$6:$E$47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5C-4D17-A8AC-2BB2A981BB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63616736"/>
        <c:axId val="863619688"/>
      </c:barChart>
      <c:catAx>
        <c:axId val="86361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619688"/>
        <c:crosses val="autoZero"/>
        <c:auto val="1"/>
        <c:lblAlgn val="ctr"/>
        <c:lblOffset val="100"/>
        <c:noMultiLvlLbl val="0"/>
      </c:catAx>
      <c:valAx>
        <c:axId val="86361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61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[StarterBook_vay.xlsx]Outcomes by Years!PivotTable20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for Kickstarter projects by launch date (2009-2017)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'Outcomes by Years'!$B$4:$B$5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'Outcomes by Years'!$A$6:$A$18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'Outcomes by Years'!$B$6:$B$18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63-42E7-8B3A-D379A098A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1197680"/>
        <c:axId val="861196368"/>
      </c:lineChart>
      <c:catAx>
        <c:axId val="8611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196368"/>
        <c:crosses val="autoZero"/>
        <c:auto val="1"/>
        <c:lblAlgn val="ctr"/>
        <c:lblOffset val="100"/>
        <c:noMultiLvlLbl val="0"/>
      </c:catAx>
      <c:valAx>
        <c:axId val="86119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11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</a:t>
            </a:r>
            <a:r>
              <a:rPr lang="en-US" baseline="0"/>
              <a:t> Based On Goal Amount (2009-2017)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047102736612071"/>
                  <c:y val="-1.57992858188863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B7-48C0-A732-37C9280373B3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B7-48C0-A732-37C9280373B3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B7-48C0-A732-37C928037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3931104"/>
        <c:axId val="863931432"/>
      </c:lineChart>
      <c:catAx>
        <c:axId val="86393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931432"/>
        <c:crosses val="autoZero"/>
        <c:auto val="1"/>
        <c:lblAlgn val="ctr"/>
        <c:lblOffset val="100"/>
        <c:noMultiLvlLbl val="0"/>
      </c:catAx>
      <c:valAx>
        <c:axId val="863931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93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14</cp:revision>
  <dcterms:created xsi:type="dcterms:W3CDTF">2019-01-30T21:04:00Z</dcterms:created>
  <dcterms:modified xsi:type="dcterms:W3CDTF">2019-02-04T16:42:00Z</dcterms:modified>
</cp:coreProperties>
</file>