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Artifact 1: Use Case Intake Template (Canonical)</w:t>
      </w:r>
    </w:p>
    <w:p>
      <w:pPr>
        <w:pStyle w:val="Heading2"/>
      </w:pPr>
      <w:r>
        <w:t>1. Use Case Identification</w:t>
      </w:r>
    </w:p>
    <w:p>
      <w:r>
        <w:t>Use Case Name:</w:t>
      </w:r>
    </w:p>
    <w:p>
      <w:r>
        <w:t>Short Description (2–3 sentences):</w:t>
      </w:r>
    </w:p>
    <w:p>
      <w:r>
        <w:t>Platform (e.g., Eclipse, Enterprise Instinct):</w:t>
      </w:r>
    </w:p>
    <w:p>
      <w:r>
        <w:t>Proposed Go-Live Target:</w:t>
      </w:r>
    </w:p>
    <w:p>
      <w:pPr>
        <w:pStyle w:val="Heading2"/>
      </w:pPr>
      <w:r>
        <w:t>2. Ownership &amp; Accountability</w:t>
      </w:r>
    </w:p>
    <w:p>
      <w:r>
        <w:t>Business Owner (Name, Role, LoS):</w:t>
      </w:r>
    </w:p>
    <w:p>
      <w:r>
        <w:t>Technology Owner (Name, Role):</w:t>
      </w:r>
    </w:p>
    <w:p>
      <w:r>
        <w:t>Delivery Lead (if different):</w:t>
      </w:r>
    </w:p>
    <w:p>
      <w:pPr>
        <w:pStyle w:val="Heading2"/>
      </w:pPr>
      <w:r>
        <w:t>3. Business Context</w:t>
      </w:r>
    </w:p>
    <w:p>
      <w:r>
        <w:t>Problem being solved:</w:t>
      </w:r>
    </w:p>
    <w:p>
      <w:r>
        <w:t>Intended users (internal / client-facing / both):</w:t>
      </w:r>
    </w:p>
    <w:p>
      <w:r>
        <w:t>Expected value (qualitative; metrics optional):</w:t>
      </w:r>
    </w:p>
    <w:p>
      <w:pPr>
        <w:pStyle w:val="Heading2"/>
      </w:pPr>
      <w:r>
        <w:t>4. Data Inputs</w:t>
      </w:r>
    </w:p>
    <w:p>
      <w:r>
        <w:t>Data categories (client, PwC internal, public/third-party):</w:t>
      </w:r>
    </w:p>
    <w:p>
      <w:r>
        <w:t>Data sensitivity (low / moderate / high):</w:t>
      </w:r>
    </w:p>
    <w:p>
      <w:r>
        <w:t>Data residency assumptions:</w:t>
      </w:r>
    </w:p>
    <w:p>
      <w:pPr>
        <w:pStyle w:val="Heading2"/>
      </w:pPr>
      <w:r>
        <w:t>5. Model &amp; Capability Description</w:t>
      </w:r>
    </w:p>
    <w:p>
      <w:r>
        <w:t>Model type(s) (LLM, classifier, retrieval, etc.):</w:t>
      </w:r>
    </w:p>
    <w:p>
      <w:r>
        <w:t>Hosting approach (vendor / internal):</w:t>
      </w:r>
    </w:p>
    <w:p>
      <w:r>
        <w:t>Fine-tuning vs prompt-only:</w:t>
      </w:r>
    </w:p>
    <w:p>
      <w:r>
        <w:t>Multi-modality involved (text/image/audio/other):</w:t>
      </w:r>
    </w:p>
    <w:p>
      <w:pPr>
        <w:pStyle w:val="Heading2"/>
      </w:pPr>
      <w:r>
        <w:t>6. Outputs &amp; Client Exposure</w:t>
      </w:r>
    </w:p>
    <w:p>
      <w:r>
        <w:t>Output type (insight, draft, recommendation, decision support):</w:t>
      </w:r>
    </w:p>
    <w:p>
      <w:r>
        <w:t>Human-in-the-loop (yes/no):</w:t>
      </w:r>
    </w:p>
    <w:p>
      <w:r>
        <w:t>Client visibility (none/internal/client-facing):</w:t>
      </w:r>
    </w:p>
    <w:p>
      <w:pPr>
        <w:pStyle w:val="Heading2"/>
      </w:pPr>
      <w:r>
        <w:t>7. Known Constraints or Dependencies</w:t>
      </w:r>
    </w:p>
    <w:p>
      <w:r>
        <w:t>Regulatory or independence considerations:</w:t>
      </w:r>
    </w:p>
    <w:p>
      <w:r>
        <w:t>External system dependencies:</w:t>
      </w:r>
    </w:p>
    <w:p>
      <w:r>
        <w:t>Timeline constraints: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