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Artifact 2: External Use Case Portability Summary</w:t>
      </w:r>
    </w:p>
    <w:p>
      <w:r>
        <w:t>Purpose: Capture what has already been approved outside Canada and isolate only the decisions required to safely port a use case into the CA instance.</w:t>
      </w:r>
    </w:p>
    <w:p>
      <w:pPr>
        <w:pStyle w:val="Heading2"/>
      </w:pPr>
      <w:r>
        <w:t>1. Originating Use Case Details</w:t>
      </w:r>
    </w:p>
    <w:p>
      <w:r>
        <w:t>Use Case Name:</w:t>
      </w:r>
    </w:p>
    <w:p>
      <w:r>
        <w:t>Originating Instance (US / EU):</w:t>
      </w:r>
    </w:p>
    <w:p>
      <w:r>
        <w:t>Original Platform (if different):</w:t>
      </w:r>
    </w:p>
    <w:p>
      <w:r>
        <w:t>Original Business Owner (Name, Role):</w:t>
      </w:r>
    </w:p>
    <w:p>
      <w:r>
        <w:t>Original Technology Owner (Name, Role):</w:t>
      </w:r>
    </w:p>
    <w:p>
      <w:pPr>
        <w:pStyle w:val="Heading2"/>
      </w:pPr>
      <w:r>
        <w:t>2. Existing Approvals &amp; Decisions</w:t>
      </w:r>
    </w:p>
    <w:p>
      <w:r>
        <w:t>Legal approvals already obtained (describe or link):</w:t>
      </w:r>
    </w:p>
    <w:p>
      <w:r>
        <w:t>Privacy decisions already made (describe or link):</w:t>
      </w:r>
    </w:p>
    <w:p>
      <w:r>
        <w:t>Independence determinations (describe or link):</w:t>
      </w:r>
    </w:p>
    <w:p>
      <w:r>
        <w:t>Security / architecture approvals (describe or link):</w:t>
      </w:r>
    </w:p>
    <w:p>
      <w:pPr>
        <w:pStyle w:val="Heading2"/>
      </w:pPr>
      <w:r>
        <w:t>3. Architecture &amp; Data Overview</w:t>
      </w:r>
    </w:p>
    <w:p>
      <w:r>
        <w:t>Primary data sources used:</w:t>
      </w:r>
    </w:p>
    <w:p>
      <w:r>
        <w:t>Data residency assumptions in original instance:</w:t>
      </w:r>
    </w:p>
    <w:p>
      <w:r>
        <w:t>Model hosting location:</w:t>
      </w:r>
    </w:p>
    <w:p>
      <w:r>
        <w:t>Client interaction model:</w:t>
      </w:r>
    </w:p>
    <w:p>
      <w:pPr>
        <w:pStyle w:val="Heading2"/>
      </w:pPr>
      <w:r>
        <w:t>4. Portability Assessment for Canada</w:t>
      </w:r>
    </w:p>
    <w:p>
      <w:r>
        <w:t>Components reusable in CA without change:</w:t>
      </w:r>
    </w:p>
    <w:p>
      <w:r>
        <w:t>Components requiring CA-specific modification:</w:t>
      </w:r>
    </w:p>
    <w:p>
      <w:r>
        <w:t>Known regulatory or contractual blockers:</w:t>
      </w:r>
    </w:p>
    <w:p>
      <w:pPr>
        <w:pStyle w:val="Heading2"/>
      </w:pPr>
      <w:r>
        <w:t>5. Net-New Decisions Required in Canada</w:t>
      </w:r>
    </w:p>
    <w:p>
      <w:r>
        <w:t>Legal (what is new or different):</w:t>
      </w:r>
    </w:p>
    <w:p>
      <w:r>
        <w:t>Privacy (what is new or different):</w:t>
      </w:r>
    </w:p>
    <w:p>
      <w:r>
        <w:t>Independence (what is new or different):</w:t>
      </w:r>
    </w:p>
    <w:p>
      <w:r>
        <w:t>Security (what is new or different):</w:t>
      </w:r>
    </w:p>
    <w:p>
      <w:pPr>
        <w:pStyle w:val="Heading2"/>
      </w:pPr>
      <w:r>
        <w:t>6. Recommendation</w:t>
      </w:r>
    </w:p>
    <w:p>
      <w:r>
        <w:t>Recommended path (Reuse as-is / Reuse with changes / Do not port):</w:t>
      </w:r>
    </w:p>
    <w:p>
      <w:r>
        <w:t>Rationale: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