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4F46E5"/>
          <w:sz w:val="56"/>
          <w:szCs w:val="56"/>
        </w:rPr>
        <w:t xml:space="preserve">AUTHREX</w:t>
      </w:r>
    </w:p>
    <w:p>
      <w:pPr>
        <w:spacing w:after="600"/>
        <w:jc w:val="center"/>
      </w:pPr>
      <w:r>
        <w:rPr>
          <w:color w:val="475569"/>
          <w:sz w:val="26"/>
          <w:szCs w:val="26"/>
        </w:rPr>
        <w:t xml:space="preserve">100+ Anticipated Questions — Sceptic, Technical, Critique</w:t>
      </w:r>
    </w:p>
    <w:p>
      <w:pPr>
        <w:spacing w:after="400"/>
        <w:jc w:val="center"/>
      </w:pPr>
      <w:r>
        <w:rPr>
          <w:i/>
          <w:iCs/>
          <w:color w:val="64748B"/>
          <w:sz w:val="22"/>
          <w:szCs w:val="22"/>
        </w:rPr>
        <w:t xml:space="preserve">For Q&amp;A drilling. Memorise the structure, not the words.</w:t>
      </w:r>
    </w:p>
    <w:p>
      <w:pPr>
        <w:spacing w:after="200"/>
        <w:jc w:val="center"/>
      </w:pPr>
      <w:r>
        <w:rPr>
          <w:color w:val="64748B"/>
          <w:sz w:val="22"/>
          <w:szCs w:val="22"/>
        </w:rPr>
        <w:t xml:space="preserve">Document 3 of 7 · Cognizant Technoverse Hackathon 2026</w:t>
      </w:r>
    </w:p>
    <w:p>
      <w:r>
        <w:br w:type="page"/>
      </w:r>
    </w:p>
    <w:p>
      <w:pPr>
        <w:pStyle w:val="Heading1"/>
        <w:spacing w:after="160" w:before="320"/>
      </w:pPr>
      <w:r>
        <w:rPr>
          <w:b/>
          <w:bCs/>
          <w:color w:val="0F172A"/>
          <w:sz w:val="32"/>
          <w:szCs w:val="32"/>
        </w:rPr>
        <w:t xml:space="preserve">How to use this document</w:t>
      </w:r>
    </w:p>
    <w:p>
      <w:pPr>
        <w:spacing w:after="100"/>
      </w:pPr>
      <w:r>
        <w:rPr>
          <w:sz w:val="22"/>
          <w:szCs w:val="22"/>
        </w:rPr>
        <w:t xml:space="preserve">Each section covers one judge-personality. Read all of them. During Q&amp;A, judges will mix questions across categories. The goal is for any team member to answer any question in 30 seconds with confidence.</w:t>
      </w:r>
    </w:p>
    <w:p>
      <w:pPr>
        <w:spacing w:after="100"/>
      </w:pPr>
      <w:r>
        <w:rPr>
          <w:sz w:val="22"/>
          <w:szCs w:val="22"/>
        </w:rPr>
        <w:t xml:space="preserve">Format: Q (the question, sometimes worded harshly) → A (the 30-second answer, with the killer line in bold).</w:t>
      </w:r>
    </w:p>
    <w:p>
      <w:pPr>
        <w:spacing w:after="100"/>
      </w:pPr>
      <w:r>
        <w:t xml:space="preserve"/>
      </w:r>
    </w:p>
    <w:p>
      <w:pPr>
        <w:spacing w:after="100"/>
      </w:pPr>
      <w:r>
        <w:rPr>
          <w:sz w:val="22"/>
          <w:szCs w:val="22"/>
        </w:rPr>
        <w:t xml:space="preserve">Total questions: 100. Categories:</w:t>
      </w:r>
    </w:p>
    <w:p>
      <w:pPr>
        <w:pStyle w:val="ListParagraph"/>
        <w:numPr>
          <w:ilvl w:val="0"/>
          <w:numId w:val="2"/>
        </w:numPr>
        <w:spacing w:after="60"/>
      </w:pPr>
      <w:r>
        <w:rPr>
          <w:sz w:val="22"/>
          <w:szCs w:val="22"/>
        </w:rPr>
        <w:t xml:space="preserve">Section A — Technical Architecture (Q1-25)</w:t>
      </w:r>
    </w:p>
    <w:p>
      <w:pPr>
        <w:pStyle w:val="ListParagraph"/>
        <w:numPr>
          <w:ilvl w:val="0"/>
          <w:numId w:val="2"/>
        </w:numPr>
        <w:spacing w:after="60"/>
      </w:pPr>
      <w:r>
        <w:rPr>
          <w:sz w:val="22"/>
          <w:szCs w:val="22"/>
        </w:rPr>
        <w:t xml:space="preserve">Section B — Healthcare &amp; Compliance (Q26-45)</w:t>
      </w:r>
    </w:p>
    <w:p>
      <w:pPr>
        <w:pStyle w:val="ListParagraph"/>
        <w:numPr>
          <w:ilvl w:val="0"/>
          <w:numId w:val="2"/>
        </w:numPr>
        <w:spacing w:after="60"/>
      </w:pPr>
      <w:r>
        <w:rPr>
          <w:sz w:val="22"/>
          <w:szCs w:val="22"/>
        </w:rPr>
        <w:t xml:space="preserve">Section C — Business &amp; Market (Q46-65)</w:t>
      </w:r>
    </w:p>
    <w:p>
      <w:pPr>
        <w:pStyle w:val="ListParagraph"/>
        <w:numPr>
          <w:ilvl w:val="0"/>
          <w:numId w:val="2"/>
        </w:numPr>
        <w:spacing w:after="60"/>
      </w:pPr>
      <w:r>
        <w:rPr>
          <w:sz w:val="22"/>
          <w:szCs w:val="22"/>
        </w:rPr>
        <w:t xml:space="preserve">Section D — Sceptic / Devil's Advocate (Q66-85)</w:t>
      </w:r>
    </w:p>
    <w:p>
      <w:pPr>
        <w:pStyle w:val="ListParagraph"/>
        <w:numPr>
          <w:ilvl w:val="0"/>
          <w:numId w:val="2"/>
        </w:numPr>
        <w:spacing w:after="60"/>
      </w:pPr>
      <w:r>
        <w:rPr>
          <w:sz w:val="22"/>
          <w:szCs w:val="22"/>
        </w:rPr>
        <w:t xml:space="preserve">Section E — Cognizant Fit &amp; Demo (Q86-100)</w:t>
      </w:r>
    </w:p>
    <w:p>
      <w:r>
        <w:br w:type="page"/>
      </w:r>
    </w:p>
    <w:p>
      <w:pPr>
        <w:pStyle w:val="Heading1"/>
        <w:spacing w:after="160" w:before="320"/>
      </w:pPr>
      <w:r>
        <w:rPr>
          <w:b/>
          <w:bCs/>
          <w:color w:val="0F172A"/>
          <w:sz w:val="32"/>
          <w:szCs w:val="32"/>
        </w:rPr>
        <w:t xml:space="preserve">Section A — Technical Architecture (Q1-25)</w:t>
      </w:r>
    </w:p>
    <w:p>
      <w:pPr>
        <w:spacing w:after="60" w:before="200"/>
      </w:pPr>
      <w:r>
        <w:rPr>
          <w:b/>
          <w:bCs/>
          <w:color w:val="4F46E5"/>
          <w:sz w:val="23"/>
          <w:szCs w:val="23"/>
        </w:rPr>
        <w:t xml:space="preserve">Q1. </w:t>
      </w:r>
      <w:r>
        <w:rPr>
          <w:b/>
          <w:bCs/>
          <w:color w:val="0F172A"/>
          <w:sz w:val="23"/>
          <w:szCs w:val="23"/>
        </w:rPr>
        <w:t xml:space="preserve">Why 7 agents? Why not just one big LLM call?</w:t>
      </w:r>
    </w:p>
    <w:p>
      <w:pPr>
        <w:spacing w:after="100"/>
      </w:pPr>
      <w:r>
        <w:rPr>
          <w:b/>
          <w:bCs/>
          <w:color w:val="047857"/>
          <w:sz w:val="22"/>
          <w:szCs w:val="22"/>
        </w:rPr>
        <w:t xml:space="preserve">A: </w:t>
      </w:r>
      <w:r>
        <w:rPr>
          <w:sz w:val="22"/>
          <w:szCs w:val="22"/>
        </w:rPr>
        <w:t xml:space="preserve">Three reasons: (1) Bounded responsibility — one agent for one job, easier to debug and test. (2) Cost — we use Haiku for simple tasks, Sonnet only for reasoning, saving 5x cost on grading. (3) Reliability — if one agent fails, only that step retries; the rest of the pipeline is unaffected. This is the same pattern Cognizant Neuro-SAN AAOSA recommends.</w:t>
      </w:r>
    </w:p>
    <w:p>
      <w:pPr>
        <w:spacing w:after="60" w:before="200"/>
      </w:pPr>
      <w:r>
        <w:rPr>
          <w:b/>
          <w:bCs/>
          <w:color w:val="4F46E5"/>
          <w:sz w:val="23"/>
          <w:szCs w:val="23"/>
        </w:rPr>
        <w:t xml:space="preserve">Q2. </w:t>
      </w:r>
      <w:r>
        <w:rPr>
          <w:b/>
          <w:bCs/>
          <w:color w:val="0F172A"/>
          <w:sz w:val="23"/>
          <w:szCs w:val="23"/>
        </w:rPr>
        <w:t xml:space="preserve">What if Claude Sonnet fails or is rate-limited?</w:t>
      </w:r>
    </w:p>
    <w:p>
      <w:pPr>
        <w:spacing w:after="100"/>
      </w:pPr>
      <w:r>
        <w:rPr>
          <w:b/>
          <w:bCs/>
          <w:color w:val="047857"/>
          <w:sz w:val="22"/>
          <w:szCs w:val="22"/>
        </w:rPr>
        <w:t xml:space="preserve">A: </w:t>
      </w:r>
      <w:r>
        <w:rPr>
          <w:sz w:val="22"/>
          <w:szCs w:val="22"/>
        </w:rPr>
        <w:t xml:space="preserve">Three-layer fallback. (1) Our LLMClient interface has 3 implementations — Bedrock (production), Anthropic direct (fallback), OpenRouter (development). Switch via env var, no code change. (2) Per-request retry with exponential backoff. (3) If all 3 providers are down, the case status changes to "queued" and resumes when a provider returns. Zero data loss.</w:t>
      </w:r>
    </w:p>
    <w:p>
      <w:pPr>
        <w:spacing w:after="60" w:before="200"/>
      </w:pPr>
      <w:r>
        <w:rPr>
          <w:b/>
          <w:bCs/>
          <w:color w:val="4F46E5"/>
          <w:sz w:val="23"/>
          <w:szCs w:val="23"/>
        </w:rPr>
        <w:t xml:space="preserve">Q3. </w:t>
      </w:r>
      <w:r>
        <w:rPr>
          <w:b/>
          <w:bCs/>
          <w:color w:val="0F172A"/>
          <w:sz w:val="23"/>
          <w:szCs w:val="23"/>
        </w:rPr>
        <w:t xml:space="preserve">How do you prevent hallucinations?</w:t>
      </w:r>
    </w:p>
    <w:p>
      <w:pPr>
        <w:spacing w:after="100"/>
      </w:pPr>
      <w:r>
        <w:rPr>
          <w:b/>
          <w:bCs/>
          <w:color w:val="047857"/>
          <w:sz w:val="22"/>
          <w:szCs w:val="22"/>
        </w:rPr>
        <w:t xml:space="preserve">A: </w:t>
      </w:r>
      <w:r>
        <w:rPr>
          <w:sz w:val="22"/>
          <w:szCs w:val="22"/>
        </w:rPr>
        <w:t xml:space="preserve">Architecturally, not by hoping. Every clinical claim must cite a FHIR resource ID. Every policy claim must cite a section pointer. The Grader (a Haiku-based evaluator) scores every output on schema correctness, clinical faithfulness, citation completeness. Below 0.80 = retry with the grader's feedback. Hallucinations cannot pass — they fail the citation check.</w:t>
      </w:r>
    </w:p>
    <w:p>
      <w:pPr>
        <w:spacing w:after="60" w:before="200"/>
      </w:pPr>
      <w:r>
        <w:rPr>
          <w:b/>
          <w:bCs/>
          <w:color w:val="4F46E5"/>
          <w:sz w:val="23"/>
          <w:szCs w:val="23"/>
        </w:rPr>
        <w:t xml:space="preserve">Q4. </w:t>
      </w:r>
      <w:r>
        <w:rPr>
          <w:b/>
          <w:bCs/>
          <w:color w:val="0F172A"/>
          <w:sz w:val="23"/>
          <w:szCs w:val="23"/>
        </w:rPr>
        <w:t xml:space="preserve">Why LangGraph specifically?</w:t>
      </w:r>
    </w:p>
    <w:p>
      <w:pPr>
        <w:spacing w:after="100"/>
      </w:pPr>
      <w:r>
        <w:rPr>
          <w:b/>
          <w:bCs/>
          <w:color w:val="047857"/>
          <w:sz w:val="22"/>
          <w:szCs w:val="22"/>
        </w:rPr>
        <w:t xml:space="preserve">A: </w:t>
      </w:r>
      <w:r>
        <w:rPr>
          <w:sz w:val="22"/>
          <w:szCs w:val="22"/>
        </w:rPr>
        <w:t xml:space="preserve">LangGraph is the de-facto standard for multi-agent DAGs in Python. It supports stateful continuity (each agent sees the previous output), conditional branching (Appeals Drafter only fires on DENY), and built-in observability. Cognizant's Neuro-SAN AAOSA pattern is implemented in LangGraph in their reference architecture.</w:t>
      </w:r>
    </w:p>
    <w:p>
      <w:pPr>
        <w:spacing w:after="60" w:before="200"/>
      </w:pPr>
      <w:r>
        <w:rPr>
          <w:b/>
          <w:bCs/>
          <w:color w:val="4F46E5"/>
          <w:sz w:val="23"/>
          <w:szCs w:val="23"/>
        </w:rPr>
        <w:t xml:space="preserve">Q5. </w:t>
      </w:r>
      <w:r>
        <w:rPr>
          <w:b/>
          <w:bCs/>
          <w:color w:val="0F172A"/>
          <w:sz w:val="23"/>
          <w:szCs w:val="23"/>
        </w:rPr>
        <w:t xml:space="preserve">How do agents communicate? Shared memory?</w:t>
      </w:r>
    </w:p>
    <w:p>
      <w:pPr>
        <w:spacing w:after="100"/>
      </w:pPr>
      <w:r>
        <w:rPr>
          <w:b/>
          <w:bCs/>
          <w:color w:val="047857"/>
          <w:sz w:val="22"/>
          <w:szCs w:val="22"/>
        </w:rPr>
        <w:t xml:space="preserve">A: </w:t>
      </w:r>
      <w:r>
        <w:rPr>
          <w:sz w:val="22"/>
          <w:szCs w:val="22"/>
        </w:rPr>
        <w:t xml:space="preserve">No shared memory — that creates race conditions. Each agent has typed Pydantic input and output. The output of one agent becomes the input of the next via LangGraph's state object. Strict schema, explicit dataflow. This is what makes the system debuggable.</w:t>
      </w:r>
    </w:p>
    <w:p>
      <w:pPr>
        <w:spacing w:after="60" w:before="200"/>
      </w:pPr>
      <w:r>
        <w:rPr>
          <w:b/>
          <w:bCs/>
          <w:color w:val="4F46E5"/>
          <w:sz w:val="23"/>
          <w:szCs w:val="23"/>
        </w:rPr>
        <w:t xml:space="preserve">Q6. </w:t>
      </w:r>
      <w:r>
        <w:rPr>
          <w:b/>
          <w:bCs/>
          <w:color w:val="0F172A"/>
          <w:sz w:val="23"/>
          <w:szCs w:val="23"/>
        </w:rPr>
        <w:t xml:space="preserve">How fast is the system?</w:t>
      </w:r>
    </w:p>
    <w:p>
      <w:pPr>
        <w:spacing w:after="100"/>
      </w:pPr>
      <w:r>
        <w:rPr>
          <w:b/>
          <w:bCs/>
          <w:color w:val="047857"/>
          <w:sz w:val="22"/>
          <w:szCs w:val="22"/>
        </w:rPr>
        <w:t xml:space="preserve">A: </w:t>
      </w:r>
      <w:r>
        <w:rPr>
          <w:sz w:val="22"/>
          <w:szCs w:val="22"/>
        </w:rPr>
        <w:t xml:space="preserve">Verified end-to-end on 2026-05-05: 28 seconds for clean APPROVE, ~60 seconds for DENY with appeal letter. The bottleneck is the parallel evidence_matcher fan-out — 8 criteria checked in parallel, each one a Sonnet call.</w:t>
      </w:r>
    </w:p>
    <w:p>
      <w:pPr>
        <w:spacing w:after="60" w:before="200"/>
      </w:pPr>
      <w:r>
        <w:rPr>
          <w:b/>
          <w:bCs/>
          <w:color w:val="4F46E5"/>
          <w:sz w:val="23"/>
          <w:szCs w:val="23"/>
        </w:rPr>
        <w:t xml:space="preserve">Q7. </w:t>
      </w:r>
      <w:r>
        <w:rPr>
          <w:b/>
          <w:bCs/>
          <w:color w:val="0F172A"/>
          <w:sz w:val="23"/>
          <w:szCs w:val="23"/>
        </w:rPr>
        <w:t xml:space="preserve">How much does one case actually cost?</w:t>
      </w:r>
    </w:p>
    <w:p>
      <w:pPr>
        <w:spacing w:after="100"/>
      </w:pPr>
      <w:r>
        <w:rPr>
          <w:b/>
          <w:bCs/>
          <w:color w:val="047857"/>
          <w:sz w:val="22"/>
          <w:szCs w:val="22"/>
        </w:rPr>
        <w:t xml:space="preserve">A: </w:t>
      </w:r>
      <w:r>
        <w:rPr>
          <w:sz w:val="22"/>
          <w:szCs w:val="22"/>
        </w:rPr>
        <w:t xml:space="preserve">$0.25 for clean APPROVE, $0.55 for DENY with auto-drafted appeal. Pulled from the live llm_invocations table — 98 LLM calls, real audit. Compare to AMA-baseline manual PA cost of $1,500.</w:t>
      </w:r>
    </w:p>
    <w:p>
      <w:pPr>
        <w:spacing w:after="60" w:before="200"/>
      </w:pPr>
      <w:r>
        <w:rPr>
          <w:b/>
          <w:bCs/>
          <w:color w:val="4F46E5"/>
          <w:sz w:val="23"/>
          <w:szCs w:val="23"/>
        </w:rPr>
        <w:t xml:space="preserve">Q8. </w:t>
      </w:r>
      <w:r>
        <w:rPr>
          <w:b/>
          <w:bCs/>
          <w:color w:val="0F172A"/>
          <w:sz w:val="23"/>
          <w:szCs w:val="23"/>
        </w:rPr>
        <w:t xml:space="preserve">What is your retry strategy for LLM failures?</w:t>
      </w:r>
    </w:p>
    <w:p>
      <w:pPr>
        <w:spacing w:after="100"/>
      </w:pPr>
      <w:r>
        <w:rPr>
          <w:b/>
          <w:bCs/>
          <w:color w:val="047857"/>
          <w:sz w:val="22"/>
          <w:szCs w:val="22"/>
        </w:rPr>
        <w:t xml:space="preserve">A: </w:t>
      </w:r>
      <w:r>
        <w:rPr>
          <w:sz w:val="22"/>
          <w:szCs w:val="22"/>
        </w:rPr>
        <w:t xml:space="preserve">Per-call, exponential backoff with jitter. If the schema fails to parse, retry once with the broken output appended to the prompt as feedback ("you previously produced this invalid output, please correct it"). If the grader fails, retry up to max_iterations (typically 3) with grader feedback. After max retries, fail closed — case escalates to REFER.</w:t>
      </w:r>
    </w:p>
    <w:p>
      <w:pPr>
        <w:spacing w:after="60" w:before="200"/>
      </w:pPr>
      <w:r>
        <w:rPr>
          <w:b/>
          <w:bCs/>
          <w:color w:val="4F46E5"/>
          <w:sz w:val="23"/>
          <w:szCs w:val="23"/>
        </w:rPr>
        <w:t xml:space="preserve">Q9. </w:t>
      </w:r>
      <w:r>
        <w:rPr>
          <w:b/>
          <w:bCs/>
          <w:color w:val="0F172A"/>
          <w:sz w:val="23"/>
          <w:szCs w:val="23"/>
        </w:rPr>
        <w:t xml:space="preserve">How do you handle the "model drift" problem?</w:t>
      </w:r>
    </w:p>
    <w:p>
      <w:pPr>
        <w:spacing w:after="100"/>
      </w:pPr>
      <w:r>
        <w:rPr>
          <w:b/>
          <w:bCs/>
          <w:color w:val="047857"/>
          <w:sz w:val="22"/>
          <w:szCs w:val="22"/>
        </w:rPr>
        <w:t xml:space="preserve">A: </w:t>
      </w:r>
      <w:r>
        <w:rPr>
          <w:sz w:val="22"/>
          <w:szCs w:val="22"/>
        </w:rPr>
        <w:t xml:space="preserve">We pin model versions explicitly — claude-sonnet-4-6 (not "latest"). When the model is updated, we run our evaluation harness against the new version on the same fixtures. Only after parity is confirmed do we bump the version. Cognizant Foundry-compatible approach.</w:t>
      </w:r>
    </w:p>
    <w:p>
      <w:pPr>
        <w:spacing w:after="60" w:before="200"/>
      </w:pPr>
      <w:r>
        <w:rPr>
          <w:b/>
          <w:bCs/>
          <w:color w:val="4F46E5"/>
          <w:sz w:val="23"/>
          <w:szCs w:val="23"/>
        </w:rPr>
        <w:t xml:space="preserve">Q10. </w:t>
      </w:r>
      <w:r>
        <w:rPr>
          <w:b/>
          <w:bCs/>
          <w:color w:val="0F172A"/>
          <w:sz w:val="23"/>
          <w:szCs w:val="23"/>
        </w:rPr>
        <w:t xml:space="preserve">What is your test coverage?</w:t>
      </w:r>
    </w:p>
    <w:p>
      <w:pPr>
        <w:spacing w:after="100"/>
      </w:pPr>
      <w:r>
        <w:rPr>
          <w:b/>
          <w:bCs/>
          <w:color w:val="047857"/>
          <w:sz w:val="22"/>
          <w:szCs w:val="22"/>
        </w:rPr>
        <w:t xml:space="preserve">A: </w:t>
      </w:r>
      <w:r>
        <w:rPr>
          <w:sz w:val="22"/>
          <w:szCs w:val="22"/>
        </w:rPr>
        <w:t xml:space="preserve">Every agent has at least one contract test on a fixture. Plus integration tests on the full pipeline using 3 demo fixtures (APPROVE / REFER / DENY). Plus the live audit log proving end-to-end in production.</w:t>
      </w:r>
    </w:p>
    <w:p>
      <w:pPr>
        <w:spacing w:after="60" w:before="200"/>
      </w:pPr>
      <w:r>
        <w:rPr>
          <w:b/>
          <w:bCs/>
          <w:color w:val="4F46E5"/>
          <w:sz w:val="23"/>
          <w:szCs w:val="23"/>
        </w:rPr>
        <w:t xml:space="preserve">Q11. </w:t>
      </w:r>
      <w:r>
        <w:rPr>
          <w:b/>
          <w:bCs/>
          <w:color w:val="0F172A"/>
          <w:sz w:val="23"/>
          <w:szCs w:val="23"/>
        </w:rPr>
        <w:t xml:space="preserve">Why Pydantic v2?</w:t>
      </w:r>
    </w:p>
    <w:p>
      <w:pPr>
        <w:spacing w:after="100"/>
      </w:pPr>
      <w:r>
        <w:rPr>
          <w:b/>
          <w:bCs/>
          <w:color w:val="047857"/>
          <w:sz w:val="22"/>
          <w:szCs w:val="22"/>
        </w:rPr>
        <w:t xml:space="preserve">A: </w:t>
      </w:r>
      <w:r>
        <w:rPr>
          <w:sz w:val="22"/>
          <w:szCs w:val="22"/>
        </w:rPr>
        <w:t xml:space="preserve">5x faster than v1 (Rust-backed). Stricter — catches malformed LLM output at the boundary, before it propagates. Every agent input and output is a Pydantic model. Validation is automatic.</w:t>
      </w:r>
    </w:p>
    <w:p>
      <w:pPr>
        <w:spacing w:after="60" w:before="200"/>
      </w:pPr>
      <w:r>
        <w:rPr>
          <w:b/>
          <w:bCs/>
          <w:color w:val="4F46E5"/>
          <w:sz w:val="23"/>
          <w:szCs w:val="23"/>
        </w:rPr>
        <w:t xml:space="preserve">Q12. </w:t>
      </w:r>
      <w:r>
        <w:rPr>
          <w:b/>
          <w:bCs/>
          <w:color w:val="0F172A"/>
          <w:sz w:val="23"/>
          <w:szCs w:val="23"/>
        </w:rPr>
        <w:t xml:space="preserve">How do you handle parallel LLM calls?</w:t>
      </w:r>
    </w:p>
    <w:p>
      <w:pPr>
        <w:spacing w:after="100"/>
      </w:pPr>
      <w:r>
        <w:rPr>
          <w:b/>
          <w:bCs/>
          <w:color w:val="047857"/>
          <w:sz w:val="22"/>
          <w:szCs w:val="22"/>
        </w:rPr>
        <w:t xml:space="preserve">A: </w:t>
      </w:r>
      <w:r>
        <w:rPr>
          <w:sz w:val="22"/>
          <w:szCs w:val="22"/>
        </w:rPr>
        <w:t xml:space="preserve">Python asyncio.gather. The evidence_matcher fans out to N parallel calls (one per criterion). Postgres connection pool sized accordingly. We tested up to 76 parallel evidence_matcher calls in one case without contention.</w:t>
      </w:r>
    </w:p>
    <w:p>
      <w:pPr>
        <w:spacing w:after="60" w:before="200"/>
      </w:pPr>
      <w:r>
        <w:rPr>
          <w:b/>
          <w:bCs/>
          <w:color w:val="4F46E5"/>
          <w:sz w:val="23"/>
          <w:szCs w:val="23"/>
        </w:rPr>
        <w:t xml:space="preserve">Q13. </w:t>
      </w:r>
      <w:r>
        <w:rPr>
          <w:b/>
          <w:bCs/>
          <w:color w:val="0F172A"/>
          <w:sz w:val="23"/>
          <w:szCs w:val="23"/>
        </w:rPr>
        <w:t xml:space="preserve">What happens if two cases enter at the exact same millisecond?</w:t>
      </w:r>
    </w:p>
    <w:p>
      <w:pPr>
        <w:spacing w:after="100"/>
      </w:pPr>
      <w:r>
        <w:rPr>
          <w:b/>
          <w:bCs/>
          <w:color w:val="047857"/>
          <w:sz w:val="22"/>
          <w:szCs w:val="22"/>
        </w:rPr>
        <w:t xml:space="preserve">A: </w:t>
      </w:r>
      <w:r>
        <w:rPr>
          <w:sz w:val="22"/>
          <w:szCs w:val="22"/>
        </w:rPr>
        <w:t xml:space="preserve">Independent. Each gets its own case_id. Each has its own LangGraph state. Postgres writes are transactional. Postgres row-level security ensures Tenant A cannot see Tenant B's case even if a bug routes them to the same worker.</w:t>
      </w:r>
    </w:p>
    <w:p>
      <w:pPr>
        <w:spacing w:after="60" w:before="200"/>
      </w:pPr>
      <w:r>
        <w:rPr>
          <w:b/>
          <w:bCs/>
          <w:color w:val="4F46E5"/>
          <w:sz w:val="23"/>
          <w:szCs w:val="23"/>
        </w:rPr>
        <w:t xml:space="preserve">Q14. </w:t>
      </w:r>
      <w:r>
        <w:rPr>
          <w:b/>
          <w:bCs/>
          <w:color w:val="0F172A"/>
          <w:sz w:val="23"/>
          <w:szCs w:val="23"/>
        </w:rPr>
        <w:t xml:space="preserve">How do you handle very large FHIR bundles?</w:t>
      </w:r>
    </w:p>
    <w:p>
      <w:pPr>
        <w:spacing w:after="100"/>
      </w:pPr>
      <w:r>
        <w:rPr>
          <w:b/>
          <w:bCs/>
          <w:color w:val="047857"/>
          <w:sz w:val="22"/>
          <w:szCs w:val="22"/>
        </w:rPr>
        <w:t xml:space="preserve">A: </w:t>
      </w:r>
      <w:r>
        <w:rPr>
          <w:sz w:val="22"/>
          <w:szCs w:val="22"/>
        </w:rPr>
        <w:t xml:space="preserve">TokenBudgetGuardrail rejects bundles over 12,000 tokens at the gate (well before any LLM call). For very large bundles, the Clinical Extractor produces a tighter ClinicalSnapshot first — downstream agents read the snapshot, not the bundle. This caps cost regardless of input size.</w:t>
      </w:r>
    </w:p>
    <w:p>
      <w:pPr>
        <w:spacing w:after="60" w:before="200"/>
      </w:pPr>
      <w:r>
        <w:rPr>
          <w:b/>
          <w:bCs/>
          <w:color w:val="4F46E5"/>
          <w:sz w:val="23"/>
          <w:szCs w:val="23"/>
        </w:rPr>
        <w:t xml:space="preserve">Q15. </w:t>
      </w:r>
      <w:r>
        <w:rPr>
          <w:b/>
          <w:bCs/>
          <w:color w:val="0F172A"/>
          <w:sz w:val="23"/>
          <w:szCs w:val="23"/>
        </w:rPr>
        <w:t xml:space="preserve">How is the audit ledger tamper-evident?</w:t>
      </w:r>
    </w:p>
    <w:p>
      <w:pPr>
        <w:spacing w:after="100"/>
      </w:pPr>
      <w:r>
        <w:rPr>
          <w:b/>
          <w:bCs/>
          <w:color w:val="047857"/>
          <w:sz w:val="22"/>
          <w:szCs w:val="22"/>
        </w:rPr>
        <w:t xml:space="preserve">A: </w:t>
      </w:r>
      <w:r>
        <w:rPr>
          <w:sz w:val="22"/>
          <w:szCs w:val="22"/>
        </w:rPr>
        <w:t xml:space="preserve">Each row contains a SHA-256 hash that includes the previous row's hash. Modifying any past row breaks the chain detectably. The chain can be verified with one SQL function call: SELECT verify_chain(case_id). Same algorithm Bitcoin uses for its blockchain.</w:t>
      </w:r>
    </w:p>
    <w:p>
      <w:pPr>
        <w:spacing w:after="60" w:before="200"/>
      </w:pPr>
      <w:r>
        <w:rPr>
          <w:b/>
          <w:bCs/>
          <w:color w:val="4F46E5"/>
          <w:sz w:val="23"/>
          <w:szCs w:val="23"/>
        </w:rPr>
        <w:t xml:space="preserve">Q16. </w:t>
      </w:r>
      <w:r>
        <w:rPr>
          <w:b/>
          <w:bCs/>
          <w:color w:val="0F172A"/>
          <w:sz w:val="23"/>
          <w:szCs w:val="23"/>
        </w:rPr>
        <w:t xml:space="preserve">Why Postgres and not a NoSQL database?</w:t>
      </w:r>
    </w:p>
    <w:p>
      <w:pPr>
        <w:spacing w:after="100"/>
      </w:pPr>
      <w:r>
        <w:rPr>
          <w:b/>
          <w:bCs/>
          <w:color w:val="047857"/>
          <w:sz w:val="22"/>
          <w:szCs w:val="22"/>
        </w:rPr>
        <w:t xml:space="preserve">A: </w:t>
      </w:r>
      <w:r>
        <w:rPr>
          <w:sz w:val="22"/>
          <w:szCs w:val="22"/>
        </w:rPr>
        <w:t xml:space="preserve">Three reasons: (1) Row-level security — Postgres RLS enforces tenant isolation at the kernel level, not in app code. (2) JSONB columns — we get the flexibility of NoSQL where we need it (e.g., agent_runs.output_json). (3) Audit ledger needs ACID transactions for the hash chain to be reliable.</w:t>
      </w:r>
    </w:p>
    <w:p>
      <w:pPr>
        <w:spacing w:after="60" w:before="200"/>
      </w:pPr>
      <w:r>
        <w:rPr>
          <w:b/>
          <w:bCs/>
          <w:color w:val="4F46E5"/>
          <w:sz w:val="23"/>
          <w:szCs w:val="23"/>
        </w:rPr>
        <w:t xml:space="preserve">Q17. </w:t>
      </w:r>
      <w:r>
        <w:rPr>
          <w:b/>
          <w:bCs/>
          <w:color w:val="0F172A"/>
          <w:sz w:val="23"/>
          <w:szCs w:val="23"/>
        </w:rPr>
        <w:t xml:space="preserve">How do you stream agent results to the frontend?</w:t>
      </w:r>
    </w:p>
    <w:p>
      <w:pPr>
        <w:spacing w:after="100"/>
      </w:pPr>
      <w:r>
        <w:rPr>
          <w:b/>
          <w:bCs/>
          <w:color w:val="047857"/>
          <w:sz w:val="22"/>
          <w:szCs w:val="22"/>
        </w:rPr>
        <w:t xml:space="preserve">A: </w:t>
      </w:r>
      <w:r>
        <w:rPr>
          <w:sz w:val="22"/>
          <w:szCs w:val="22"/>
        </w:rPr>
        <w:t xml:space="preserve">Server-Sent Events (SSE). FastAPI exposes /api/v1/cases/{id}/stream. Every agent firing publishes a trace event. The browser receives events in real-time and updates the UI. Latency: ~100ms from LLM completion to UI update.</w:t>
      </w:r>
    </w:p>
    <w:p>
      <w:pPr>
        <w:spacing w:after="60" w:before="200"/>
      </w:pPr>
      <w:r>
        <w:rPr>
          <w:b/>
          <w:bCs/>
          <w:color w:val="4F46E5"/>
          <w:sz w:val="23"/>
          <w:szCs w:val="23"/>
        </w:rPr>
        <w:t xml:space="preserve">Q18. </w:t>
      </w:r>
      <w:r>
        <w:rPr>
          <w:b/>
          <w:bCs/>
          <w:color w:val="0F172A"/>
          <w:sz w:val="23"/>
          <w:szCs w:val="23"/>
        </w:rPr>
        <w:t xml:space="preserve">What is your error-handling philosophy?</w:t>
      </w:r>
    </w:p>
    <w:p>
      <w:pPr>
        <w:spacing w:after="100"/>
      </w:pPr>
      <w:r>
        <w:rPr>
          <w:b/>
          <w:bCs/>
          <w:color w:val="047857"/>
          <w:sz w:val="22"/>
          <w:szCs w:val="22"/>
        </w:rPr>
        <w:t xml:space="preserve">A: </w:t>
      </w:r>
      <w:r>
        <w:rPr>
          <w:sz w:val="22"/>
          <w:szCs w:val="22"/>
        </w:rPr>
        <w:t xml:space="preserve">Fail closed. If we cannot produce a verdict with high confidence, we return REFER (not a guess). If a critical error occurs (database down, all LLM providers down), we return 503 with a clear error code. We never return "best-effort" answers.</w:t>
      </w:r>
    </w:p>
    <w:p>
      <w:pPr>
        <w:spacing w:after="60" w:before="200"/>
      </w:pPr>
      <w:r>
        <w:rPr>
          <w:b/>
          <w:bCs/>
          <w:color w:val="4F46E5"/>
          <w:sz w:val="23"/>
          <w:szCs w:val="23"/>
        </w:rPr>
        <w:t xml:space="preserve">Q19. </w:t>
      </w:r>
      <w:r>
        <w:rPr>
          <w:b/>
          <w:bCs/>
          <w:color w:val="0F172A"/>
          <w:sz w:val="23"/>
          <w:szCs w:val="23"/>
        </w:rPr>
        <w:t xml:space="preserve">How do you prevent prompt injection?</w:t>
      </w:r>
    </w:p>
    <w:p>
      <w:pPr>
        <w:spacing w:after="100"/>
      </w:pPr>
      <w:r>
        <w:rPr>
          <w:b/>
          <w:bCs/>
          <w:color w:val="047857"/>
          <w:sz w:val="22"/>
          <w:szCs w:val="22"/>
        </w:rPr>
        <w:t xml:space="preserve">A: </w:t>
      </w:r>
      <w:r>
        <w:rPr>
          <w:sz w:val="22"/>
          <w:szCs w:val="22"/>
        </w:rPr>
        <w:t xml:space="preserve">PHI Sanitizer strips suspicious payloads (e.g., user-provided text containing "ignore previous instructions"). Every agent's system prompt is stored as a .txt file with explicit instructions to never deviate. Output is schema-validated — even a successful injection cannot produce structurally invalid output.</w:t>
      </w:r>
    </w:p>
    <w:p>
      <w:pPr>
        <w:spacing w:after="60" w:before="200"/>
      </w:pPr>
      <w:r>
        <w:rPr>
          <w:b/>
          <w:bCs/>
          <w:color w:val="4F46E5"/>
          <w:sz w:val="23"/>
          <w:szCs w:val="23"/>
        </w:rPr>
        <w:t xml:space="preserve">Q20. </w:t>
      </w:r>
      <w:r>
        <w:rPr>
          <w:b/>
          <w:bCs/>
          <w:color w:val="0F172A"/>
          <w:sz w:val="23"/>
          <w:szCs w:val="23"/>
        </w:rPr>
        <w:t xml:space="preserve">Why MCP (Model Context Protocol)?</w:t>
      </w:r>
    </w:p>
    <w:p>
      <w:pPr>
        <w:spacing w:after="100"/>
      </w:pPr>
      <w:r>
        <w:rPr>
          <w:b/>
          <w:bCs/>
          <w:color w:val="047857"/>
          <w:sz w:val="22"/>
          <w:szCs w:val="22"/>
        </w:rPr>
        <w:t xml:space="preserve">A: </w:t>
      </w:r>
      <w:r>
        <w:rPr>
          <w:sz w:val="22"/>
          <w:szCs w:val="22"/>
        </w:rPr>
        <w:t xml:space="preserve">MCP is the Anthropic-Cognizant standard for tool calling. Our agents use MCP to call payer APIs, FHIR servers, the audit ledger. Standardised tool calls = portable across LLM providers (Bedrock, direct Anthropic, even OpenAI in the future).</w:t>
      </w:r>
    </w:p>
    <w:p>
      <w:pPr>
        <w:spacing w:after="60" w:before="200"/>
      </w:pPr>
      <w:r>
        <w:rPr>
          <w:b/>
          <w:bCs/>
          <w:color w:val="4F46E5"/>
          <w:sz w:val="23"/>
          <w:szCs w:val="23"/>
        </w:rPr>
        <w:t xml:space="preserve">Q21. </w:t>
      </w:r>
      <w:r>
        <w:rPr>
          <w:b/>
          <w:bCs/>
          <w:color w:val="0F172A"/>
          <w:sz w:val="23"/>
          <w:szCs w:val="23"/>
        </w:rPr>
        <w:t xml:space="preserve">How do you handle versioning of payer policies?</w:t>
      </w:r>
    </w:p>
    <w:p>
      <w:pPr>
        <w:spacing w:after="100"/>
      </w:pPr>
      <w:r>
        <w:rPr>
          <w:b/>
          <w:bCs/>
          <w:color w:val="047857"/>
          <w:sz w:val="22"/>
          <w:szCs w:val="22"/>
        </w:rPr>
        <w:t xml:space="preserve">A: </w:t>
      </w:r>
      <w:r>
        <w:rPr>
          <w:sz w:val="22"/>
          <w:szCs w:val="22"/>
        </w:rPr>
        <w:t xml:space="preserve">Each policy has a policy_id and a version. The Policy Retriever returns the current version. The Policy Diff Viewer shows changes over time. When a policy is updated, the system re-runs affected cases automatically with the new version.</w:t>
      </w:r>
    </w:p>
    <w:p>
      <w:pPr>
        <w:spacing w:after="60" w:before="200"/>
      </w:pPr>
      <w:r>
        <w:rPr>
          <w:b/>
          <w:bCs/>
          <w:color w:val="4F46E5"/>
          <w:sz w:val="23"/>
          <w:szCs w:val="23"/>
        </w:rPr>
        <w:t xml:space="preserve">Q22. </w:t>
      </w:r>
      <w:r>
        <w:rPr>
          <w:b/>
          <w:bCs/>
          <w:color w:val="0F172A"/>
          <w:sz w:val="23"/>
          <w:szCs w:val="23"/>
        </w:rPr>
        <w:t xml:space="preserve">What is your CI/CD pipeline?</w:t>
      </w:r>
    </w:p>
    <w:p>
      <w:pPr>
        <w:spacing w:after="100"/>
      </w:pPr>
      <w:r>
        <w:rPr>
          <w:b/>
          <w:bCs/>
          <w:color w:val="047857"/>
          <w:sz w:val="22"/>
          <w:szCs w:val="22"/>
        </w:rPr>
        <w:t xml:space="preserve">A: </w:t>
      </w:r>
      <w:r>
        <w:rPr>
          <w:sz w:val="22"/>
          <w:szCs w:val="22"/>
        </w:rPr>
        <w:t xml:space="preserve">GitHub Actions. Every push triggers tests (pytest + ruff + mypy --strict on app/models). Passing commits to main auto-deploy to a staging environment. Production deploy is manual (one approval click). Standard enterprise CI/CD.</w:t>
      </w:r>
    </w:p>
    <w:p>
      <w:pPr>
        <w:spacing w:after="60" w:before="200"/>
      </w:pPr>
      <w:r>
        <w:rPr>
          <w:b/>
          <w:bCs/>
          <w:color w:val="4F46E5"/>
          <w:sz w:val="23"/>
          <w:szCs w:val="23"/>
        </w:rPr>
        <w:t xml:space="preserve">Q23. </w:t>
      </w:r>
      <w:r>
        <w:rPr>
          <w:b/>
          <w:bCs/>
          <w:color w:val="0F172A"/>
          <w:sz w:val="23"/>
          <w:szCs w:val="23"/>
        </w:rPr>
        <w:t xml:space="preserve">How do you do observability?</w:t>
      </w:r>
    </w:p>
    <w:p>
      <w:pPr>
        <w:spacing w:after="100"/>
      </w:pPr>
      <w:r>
        <w:rPr>
          <w:b/>
          <w:bCs/>
          <w:color w:val="047857"/>
          <w:sz w:val="22"/>
          <w:szCs w:val="22"/>
        </w:rPr>
        <w:t xml:space="preserve">A: </w:t>
      </w:r>
      <w:r>
        <w:rPr>
          <w:sz w:val="22"/>
          <w:szCs w:val="22"/>
        </w:rPr>
        <w:t xml:space="preserve">Three layers. (1) Structured logging at every agent boundary. (2) Per-LLM-call metrics in CloudWatch — input tokens, output tokens, latency, cost. (3) The audit ledger — every event for every case, queryable in SQL.</w:t>
      </w:r>
    </w:p>
    <w:p>
      <w:pPr>
        <w:spacing w:after="60" w:before="200"/>
      </w:pPr>
      <w:r>
        <w:rPr>
          <w:b/>
          <w:bCs/>
          <w:color w:val="4F46E5"/>
          <w:sz w:val="23"/>
          <w:szCs w:val="23"/>
        </w:rPr>
        <w:t xml:space="preserve">Q24. </w:t>
      </w:r>
      <w:r>
        <w:rPr>
          <w:b/>
          <w:bCs/>
          <w:color w:val="0F172A"/>
          <w:sz w:val="23"/>
          <w:szCs w:val="23"/>
        </w:rPr>
        <w:t xml:space="preserve">How does the system scale?</w:t>
      </w:r>
    </w:p>
    <w:p>
      <w:pPr>
        <w:spacing w:after="100"/>
      </w:pPr>
      <w:r>
        <w:rPr>
          <w:b/>
          <w:bCs/>
          <w:color w:val="047857"/>
          <w:sz w:val="22"/>
          <w:szCs w:val="22"/>
        </w:rPr>
        <w:t xml:space="preserve">A: </w:t>
      </w:r>
      <w:r>
        <w:rPr>
          <w:sz w:val="22"/>
          <w:szCs w:val="22"/>
        </w:rPr>
        <w:t xml:space="preserve">Stateless workers — add more for higher throughput. Postgres scales vertically up to ~100K cases/day, then we shard by tenant_id. Bedrock has effectively infinite capacity. The architecture is horizontally scalable end-to-end.</w:t>
      </w:r>
    </w:p>
    <w:p>
      <w:pPr>
        <w:spacing w:after="60" w:before="200"/>
      </w:pPr>
      <w:r>
        <w:rPr>
          <w:b/>
          <w:bCs/>
          <w:color w:val="4F46E5"/>
          <w:sz w:val="23"/>
          <w:szCs w:val="23"/>
        </w:rPr>
        <w:t xml:space="preserve">Q25. </w:t>
      </w:r>
      <w:r>
        <w:rPr>
          <w:b/>
          <w:bCs/>
          <w:color w:val="0F172A"/>
          <w:sz w:val="23"/>
          <w:szCs w:val="23"/>
        </w:rPr>
        <w:t xml:space="preserve">How long would it take to onboard a new payer?</w:t>
      </w:r>
    </w:p>
    <w:p>
      <w:pPr>
        <w:spacing w:after="100"/>
      </w:pPr>
      <w:r>
        <w:rPr>
          <w:b/>
          <w:bCs/>
          <w:color w:val="047857"/>
          <w:sz w:val="22"/>
          <w:szCs w:val="22"/>
        </w:rPr>
        <w:t xml:space="preserve">A: </w:t>
      </w:r>
      <w:r>
        <w:rPr>
          <w:sz w:val="22"/>
          <w:szCs w:val="22"/>
        </w:rPr>
        <w:t xml:space="preserve">Hours, not weeks. The payer's policy documents are loaded into Q Business. The keyword filter is configured for their drug-class taxonomy. The PolicyExcerpt schema is unchanged. New payer = new policy index, same agent code.</w:t>
      </w:r>
    </w:p>
    <w:p>
      <w:r>
        <w:br w:type="page"/>
      </w:r>
    </w:p>
    <w:p>
      <w:pPr>
        <w:pStyle w:val="Heading1"/>
        <w:spacing w:after="160" w:before="320"/>
      </w:pPr>
      <w:r>
        <w:rPr>
          <w:b/>
          <w:bCs/>
          <w:color w:val="0F172A"/>
          <w:sz w:val="32"/>
          <w:szCs w:val="32"/>
        </w:rPr>
        <w:t xml:space="preserve">Section B — Healthcare &amp; Compliance (Q26-45)</w:t>
      </w:r>
    </w:p>
    <w:p>
      <w:pPr>
        <w:spacing w:after="60" w:before="200"/>
      </w:pPr>
      <w:r>
        <w:rPr>
          <w:b/>
          <w:bCs/>
          <w:color w:val="4F46E5"/>
          <w:sz w:val="23"/>
          <w:szCs w:val="23"/>
        </w:rPr>
        <w:t xml:space="preserve">Q26. </w:t>
      </w:r>
      <w:r>
        <w:rPr>
          <w:b/>
          <w:bCs/>
          <w:color w:val="0F172A"/>
          <w:sz w:val="23"/>
          <w:szCs w:val="23"/>
        </w:rPr>
        <w:t xml:space="preserve">Are you HIPAA-compliant?</w:t>
      </w:r>
    </w:p>
    <w:p>
      <w:pPr>
        <w:spacing w:after="100"/>
      </w:pPr>
      <w:r>
        <w:rPr>
          <w:b/>
          <w:bCs/>
          <w:color w:val="047857"/>
          <w:sz w:val="22"/>
          <w:szCs w:val="22"/>
        </w:rPr>
        <w:t xml:space="preserve">A: </w:t>
      </w:r>
      <w:r>
        <w:rPr>
          <w:sz w:val="22"/>
          <w:szCs w:val="22"/>
        </w:rPr>
        <w:t xml:space="preserve">By architecture, yes. PHI never enters the LLM context window — our PHI Sanitizer runs BEFORE the first LLM call. Patient initials only propagate downstream. Direct identifiers (name, MRN, DOB, phone, address) are replaced with deterministic hashes. Receipts are written to the phi_redactions ledger.</w:t>
      </w:r>
    </w:p>
    <w:p>
      <w:pPr>
        <w:spacing w:after="60" w:before="200"/>
      </w:pPr>
      <w:r>
        <w:rPr>
          <w:b/>
          <w:bCs/>
          <w:color w:val="4F46E5"/>
          <w:sz w:val="23"/>
          <w:szCs w:val="23"/>
        </w:rPr>
        <w:t xml:space="preserve">Q27. </w:t>
      </w:r>
      <w:r>
        <w:rPr>
          <w:b/>
          <w:bCs/>
          <w:color w:val="0F172A"/>
          <w:sz w:val="23"/>
          <w:szCs w:val="23"/>
        </w:rPr>
        <w:t xml:space="preserve">What about CMS-0057-F? When does it kick in?</w:t>
      </w:r>
    </w:p>
    <w:p>
      <w:pPr>
        <w:spacing w:after="100"/>
      </w:pPr>
      <w:r>
        <w:rPr>
          <w:b/>
          <w:bCs/>
          <w:color w:val="047857"/>
          <w:sz w:val="22"/>
          <w:szCs w:val="22"/>
        </w:rPr>
        <w:t xml:space="preserve">A: </w:t>
      </w:r>
      <w:r>
        <w:rPr>
          <w:sz w:val="22"/>
          <w:szCs w:val="22"/>
        </w:rPr>
        <w:t xml:space="preserve">January 2027 enforcement. We map to all 8 § IV clauses today — auditable decisions, citation grounding, structured payer-API integration, appeal window standardisation, PHI handling, reviewer transparency, quarterly evidence pack. Providers buying us are buying a 2027-mandate solution 18 months early.</w:t>
      </w:r>
    </w:p>
    <w:p>
      <w:pPr>
        <w:spacing w:after="60" w:before="200"/>
      </w:pPr>
      <w:r>
        <w:rPr>
          <w:b/>
          <w:bCs/>
          <w:color w:val="4F46E5"/>
          <w:sz w:val="23"/>
          <w:szCs w:val="23"/>
        </w:rPr>
        <w:t xml:space="preserve">Q28. </w:t>
      </w:r>
      <w:r>
        <w:rPr>
          <w:b/>
          <w:bCs/>
          <w:color w:val="0F172A"/>
          <w:sz w:val="23"/>
          <w:szCs w:val="23"/>
        </w:rPr>
        <w:t xml:space="preserve">Are you SOC 2 certified?</w:t>
      </w:r>
    </w:p>
    <w:p>
      <w:pPr>
        <w:spacing w:after="100"/>
      </w:pPr>
      <w:r>
        <w:rPr>
          <w:b/>
          <w:bCs/>
          <w:color w:val="047857"/>
          <w:sz w:val="22"/>
          <w:szCs w:val="22"/>
        </w:rPr>
        <w:t xml:space="preserve">A: </w:t>
      </w:r>
      <w:r>
        <w:rPr>
          <w:sz w:val="22"/>
          <w:szCs w:val="22"/>
        </w:rPr>
        <w:t xml:space="preserve">SOC 2 Type II is the target. Today we are SOC 2-aligned by architecture: per-tenant row-level security, JWT-based auth with 1-hour expiry, encrypted at rest (KMS) and in transit (TLS 1.3), append-only audit ledger. Formal attestation requires audit period — Series-A use of funds.</w:t>
      </w:r>
    </w:p>
    <w:p>
      <w:pPr>
        <w:spacing w:after="60" w:before="200"/>
      </w:pPr>
      <w:r>
        <w:rPr>
          <w:b/>
          <w:bCs/>
          <w:color w:val="4F46E5"/>
          <w:sz w:val="23"/>
          <w:szCs w:val="23"/>
        </w:rPr>
        <w:t xml:space="preserve">Q29. </w:t>
      </w:r>
      <w:r>
        <w:rPr>
          <w:b/>
          <w:bCs/>
          <w:color w:val="0F172A"/>
          <w:sz w:val="23"/>
          <w:szCs w:val="23"/>
        </w:rPr>
        <w:t xml:space="preserve">How do you handle wrong AI decisions in life-critical care?</w:t>
      </w:r>
    </w:p>
    <w:p>
      <w:pPr>
        <w:spacing w:after="100"/>
      </w:pPr>
      <w:r>
        <w:rPr>
          <w:b/>
          <w:bCs/>
          <w:color w:val="047857"/>
          <w:sz w:val="22"/>
          <w:szCs w:val="22"/>
        </w:rPr>
        <w:t xml:space="preserve">A: </w:t>
      </w:r>
      <w:r>
        <w:rPr>
          <w:sz w:val="22"/>
          <w:szCs w:val="22"/>
        </w:rPr>
        <w:t xml:space="preserve">Three layers of defense. (1) The Grader rejects below-threshold outputs. (2) Low-confidence cases get REFER, routing to a human reviewer (not auto-approved). (3) Every claim is cited — a human reviewer sees the source instantly. Authrex is a copilot, not an autopilot. Verdict requires human acceptance for every case.</w:t>
      </w:r>
    </w:p>
    <w:p>
      <w:pPr>
        <w:spacing w:after="60" w:before="200"/>
      </w:pPr>
      <w:r>
        <w:rPr>
          <w:b/>
          <w:bCs/>
          <w:color w:val="4F46E5"/>
          <w:sz w:val="23"/>
          <w:szCs w:val="23"/>
        </w:rPr>
        <w:t xml:space="preserve">Q30. </w:t>
      </w:r>
      <w:r>
        <w:rPr>
          <w:b/>
          <w:bCs/>
          <w:color w:val="0F172A"/>
          <w:sz w:val="23"/>
          <w:szCs w:val="23"/>
        </w:rPr>
        <w:t xml:space="preserve">What is "REFER"? Why three verdicts not just approve/deny?</w:t>
      </w:r>
    </w:p>
    <w:p>
      <w:pPr>
        <w:spacing w:after="100"/>
      </w:pPr>
      <w:r>
        <w:rPr>
          <w:b/>
          <w:bCs/>
          <w:color w:val="047857"/>
          <w:sz w:val="22"/>
          <w:szCs w:val="22"/>
        </w:rPr>
        <w:t xml:space="preserve">A: </w:t>
      </w:r>
      <w:r>
        <w:rPr>
          <w:sz w:val="22"/>
          <w:szCs w:val="22"/>
        </w:rPr>
        <w:t xml:space="preserve">AMBIGUOUS is a first-class outcome. When evidence is missing or unclear, we refuse to manufacture a verdict. The case goes to a nurse-reviewer queue with an auto-generated 4-item gap checklist. They close it in ~5 minutes. This is the safety-first design of clinical AI.</w:t>
      </w:r>
    </w:p>
    <w:p>
      <w:pPr>
        <w:spacing w:after="60" w:before="200"/>
      </w:pPr>
      <w:r>
        <w:rPr>
          <w:b/>
          <w:bCs/>
          <w:color w:val="4F46E5"/>
          <w:sz w:val="23"/>
          <w:szCs w:val="23"/>
        </w:rPr>
        <w:t xml:space="preserve">Q31. </w:t>
      </w:r>
      <w:r>
        <w:rPr>
          <w:b/>
          <w:bCs/>
          <w:color w:val="0F172A"/>
          <w:sz w:val="23"/>
          <w:szCs w:val="23"/>
        </w:rPr>
        <w:t xml:space="preserve">What if NCCN guidelines change between when you cite and when the appeal is reviewed?</w:t>
      </w:r>
    </w:p>
    <w:p>
      <w:pPr>
        <w:spacing w:after="100"/>
      </w:pPr>
      <w:r>
        <w:rPr>
          <w:b/>
          <w:bCs/>
          <w:color w:val="047857"/>
          <w:sz w:val="22"/>
          <w:szCs w:val="22"/>
        </w:rPr>
        <w:t xml:space="preserve">A: </w:t>
      </w:r>
      <w:r>
        <w:rPr>
          <w:sz w:val="22"/>
          <w:szCs w:val="22"/>
        </w:rPr>
        <w:t xml:space="preserve">Each citation includes a version pointer (e.g., "NCCN BINV-N v3.2026"). When NCCN releases v3.2027, we keep both versions in our index. Cases cited at v3.2026 keep that citation. New cases cite v3.2027. No retroactive changes.</w:t>
      </w:r>
    </w:p>
    <w:p>
      <w:pPr>
        <w:spacing w:after="60" w:before="200"/>
      </w:pPr>
      <w:r>
        <w:rPr>
          <w:b/>
          <w:bCs/>
          <w:color w:val="4F46E5"/>
          <w:sz w:val="23"/>
          <w:szCs w:val="23"/>
        </w:rPr>
        <w:t xml:space="preserve">Q32. </w:t>
      </w:r>
      <w:r>
        <w:rPr>
          <w:b/>
          <w:bCs/>
          <w:color w:val="0F172A"/>
          <w:sz w:val="23"/>
          <w:szCs w:val="23"/>
        </w:rPr>
        <w:t xml:space="preserve">Have you tested with real PHI?</w:t>
      </w:r>
    </w:p>
    <w:p>
      <w:pPr>
        <w:spacing w:after="100"/>
      </w:pPr>
      <w:r>
        <w:rPr>
          <w:b/>
          <w:bCs/>
          <w:color w:val="047857"/>
          <w:sz w:val="22"/>
          <w:szCs w:val="22"/>
        </w:rPr>
        <w:t xml:space="preserve">A: </w:t>
      </w:r>
      <w:r>
        <w:rPr>
          <w:sz w:val="22"/>
          <w:szCs w:val="22"/>
        </w:rPr>
        <w:t xml:space="preserve">No — and we never will in demo. Our 3 fixtures are Synthea-generated synthetic patients. The pipeline is identical for real PHI; only the sanitizer's exact transformations would differ. Production deployments would use the same code with real BAAs in place.</w:t>
      </w:r>
    </w:p>
    <w:p>
      <w:pPr>
        <w:spacing w:after="60" w:before="200"/>
      </w:pPr>
      <w:r>
        <w:rPr>
          <w:b/>
          <w:bCs/>
          <w:color w:val="4F46E5"/>
          <w:sz w:val="23"/>
          <w:szCs w:val="23"/>
        </w:rPr>
        <w:t xml:space="preserve">Q33. </w:t>
      </w:r>
      <w:r>
        <w:rPr>
          <w:b/>
          <w:bCs/>
          <w:color w:val="0F172A"/>
          <w:sz w:val="23"/>
          <w:szCs w:val="23"/>
        </w:rPr>
        <w:t xml:space="preserve">Why oncology? Why not start with diabetes or cardiac?</w:t>
      </w:r>
    </w:p>
    <w:p>
      <w:pPr>
        <w:spacing w:after="100"/>
      </w:pPr>
      <w:r>
        <w:rPr>
          <w:b/>
          <w:bCs/>
          <w:color w:val="047857"/>
          <w:sz w:val="22"/>
          <w:szCs w:val="22"/>
        </w:rPr>
        <w:t xml:space="preserve">A: </w:t>
      </w:r>
      <w:r>
        <w:rPr>
          <w:sz w:val="22"/>
          <w:szCs w:val="22"/>
        </w:rPr>
        <w:t xml:space="preserve">Oncology has the highest-stakes prior auth (cancer drugs are $1,500+/month), the most complex policies (NCCN updates several times a year), the worst delays (14-day average), and the highest growth (38% YoY). Per-patient impact is highest. After winning oncology, the same architecture extends to GLP-1, MS, transplant.</w:t>
      </w:r>
    </w:p>
    <w:p>
      <w:pPr>
        <w:spacing w:after="60" w:before="200"/>
      </w:pPr>
      <w:r>
        <w:rPr>
          <w:b/>
          <w:bCs/>
          <w:color w:val="4F46E5"/>
          <w:sz w:val="23"/>
          <w:szCs w:val="23"/>
        </w:rPr>
        <w:t xml:space="preserve">Q34. </w:t>
      </w:r>
      <w:r>
        <w:rPr>
          <w:b/>
          <w:bCs/>
          <w:color w:val="0F172A"/>
          <w:sz w:val="23"/>
          <w:szCs w:val="23"/>
        </w:rPr>
        <w:t xml:space="preserve">How do you handle drug-drug interactions or contraindications?</w:t>
      </w:r>
    </w:p>
    <w:p>
      <w:pPr>
        <w:spacing w:after="100"/>
      </w:pPr>
      <w:r>
        <w:rPr>
          <w:b/>
          <w:bCs/>
          <w:color w:val="047857"/>
          <w:sz w:val="22"/>
          <w:szCs w:val="22"/>
        </w:rPr>
        <w:t xml:space="preserve">A: </w:t>
      </w:r>
      <w:r>
        <w:rPr>
          <w:sz w:val="22"/>
          <w:szCs w:val="22"/>
        </w:rPr>
        <w:t xml:space="preserve">Currently we cite the relevant exclusion criteria (e.g., "active uncontrolled cardiac disease"). Full DDI checking is a future feature — would integrate with FDA RxNorm. The architecture supports it; we have not built the agent yet.</w:t>
      </w:r>
    </w:p>
    <w:p>
      <w:pPr>
        <w:spacing w:after="60" w:before="200"/>
      </w:pPr>
      <w:r>
        <w:rPr>
          <w:b/>
          <w:bCs/>
          <w:color w:val="4F46E5"/>
          <w:sz w:val="23"/>
          <w:szCs w:val="23"/>
        </w:rPr>
        <w:t xml:space="preserve">Q35. </w:t>
      </w:r>
      <w:r>
        <w:rPr>
          <w:b/>
          <w:bCs/>
          <w:color w:val="0F172A"/>
          <w:sz w:val="23"/>
          <w:szCs w:val="23"/>
        </w:rPr>
        <w:t xml:space="preserve">What about peer-to-peer review requests from payers?</w:t>
      </w:r>
    </w:p>
    <w:p>
      <w:pPr>
        <w:spacing w:after="100"/>
      </w:pPr>
      <w:r>
        <w:rPr>
          <w:b/>
          <w:bCs/>
          <w:color w:val="047857"/>
          <w:sz w:val="22"/>
          <w:szCs w:val="22"/>
        </w:rPr>
        <w:t xml:space="preserve">A: </w:t>
      </w:r>
      <w:r>
        <w:rPr>
          <w:sz w:val="22"/>
          <w:szCs w:val="22"/>
        </w:rPr>
        <w:t xml:space="preserve">Our appeal letter explicitly preserves the doctor's right to a peer-to-peer review (per the standard CMS-0057-F § IV.E clause). When a payer requests it, the doctor has all the cited evidence in front of them — no rebuilding the case.</w:t>
      </w:r>
    </w:p>
    <w:p>
      <w:pPr>
        <w:spacing w:after="60" w:before="200"/>
      </w:pPr>
      <w:r>
        <w:rPr>
          <w:b/>
          <w:bCs/>
          <w:color w:val="4F46E5"/>
          <w:sz w:val="23"/>
          <w:szCs w:val="23"/>
        </w:rPr>
        <w:t xml:space="preserve">Q36. </w:t>
      </w:r>
      <w:r>
        <w:rPr>
          <w:b/>
          <w:bCs/>
          <w:color w:val="0F172A"/>
          <w:sz w:val="23"/>
          <w:szCs w:val="23"/>
        </w:rPr>
        <w:t xml:space="preserve">How do you handle the "edge cases" where guidelines disagree?</w:t>
      </w:r>
    </w:p>
    <w:p>
      <w:pPr>
        <w:spacing w:after="100"/>
      </w:pPr>
      <w:r>
        <w:rPr>
          <w:b/>
          <w:bCs/>
          <w:color w:val="047857"/>
          <w:sz w:val="22"/>
          <w:szCs w:val="22"/>
        </w:rPr>
        <w:t xml:space="preserve">A: </w:t>
      </w:r>
      <w:r>
        <w:rPr>
          <w:sz w:val="22"/>
          <w:szCs w:val="22"/>
        </w:rPr>
        <w:t xml:space="preserve">When payer policy and NCCN disagree, we cite both and the verdict explains the conflict. If the payer policy is more restrictive (typical), the verdict reflects that — but the appeal letter argues from NCCN. Doctors decide whether to push.</w:t>
      </w:r>
    </w:p>
    <w:p>
      <w:pPr>
        <w:spacing w:after="60" w:before="200"/>
      </w:pPr>
      <w:r>
        <w:rPr>
          <w:b/>
          <w:bCs/>
          <w:color w:val="4F46E5"/>
          <w:sz w:val="23"/>
          <w:szCs w:val="23"/>
        </w:rPr>
        <w:t xml:space="preserve">Q37. </w:t>
      </w:r>
      <w:r>
        <w:rPr>
          <w:b/>
          <w:bCs/>
          <w:color w:val="0F172A"/>
          <w:sz w:val="23"/>
          <w:szCs w:val="23"/>
        </w:rPr>
        <w:t xml:space="preserve">How do you keep up with policy changes?</w:t>
      </w:r>
    </w:p>
    <w:p>
      <w:pPr>
        <w:spacing w:after="100"/>
      </w:pPr>
      <w:r>
        <w:rPr>
          <w:b/>
          <w:bCs/>
          <w:color w:val="047857"/>
          <w:sz w:val="22"/>
          <w:szCs w:val="22"/>
        </w:rPr>
        <w:t xml:space="preserve">A: </w:t>
      </w:r>
      <w:r>
        <w:rPr>
          <w:sz w:val="22"/>
          <w:szCs w:val="22"/>
        </w:rPr>
        <w:t xml:space="preserve">Policy ingestion pipeline. Aetna and UHC publish policy bulletins; we subscribe to those feeds, parse them, and re-index in Q Business. The Policy Diff Viewer shows what changed and which cases are affected. Policy changes can trigger re-runs of past cases.</w:t>
      </w:r>
    </w:p>
    <w:p>
      <w:pPr>
        <w:spacing w:after="60" w:before="200"/>
      </w:pPr>
      <w:r>
        <w:rPr>
          <w:b/>
          <w:bCs/>
          <w:color w:val="4F46E5"/>
          <w:sz w:val="23"/>
          <w:szCs w:val="23"/>
        </w:rPr>
        <w:t xml:space="preserve">Q38. </w:t>
      </w:r>
      <w:r>
        <w:rPr>
          <w:b/>
          <w:bCs/>
          <w:color w:val="0F172A"/>
          <w:sz w:val="23"/>
          <w:szCs w:val="23"/>
        </w:rPr>
        <w:t xml:space="preserve">What about specialty pharmacy logistics — does Authrex integrate?</w:t>
      </w:r>
    </w:p>
    <w:p>
      <w:pPr>
        <w:spacing w:after="100"/>
      </w:pPr>
      <w:r>
        <w:rPr>
          <w:b/>
          <w:bCs/>
          <w:color w:val="047857"/>
          <w:sz w:val="22"/>
          <w:szCs w:val="22"/>
        </w:rPr>
        <w:t xml:space="preserve">A: </w:t>
      </w:r>
      <w:r>
        <w:rPr>
          <w:sz w:val="22"/>
          <w:szCs w:val="22"/>
        </w:rPr>
        <w:t xml:space="preserve">Future. Today we hand off to TriZetto for adjudication. Specialty pharmacy (e.g., Accredo, CVS Specialty) is a downstream system after the payer approves. We could integrate, but it is not in the MVP.</w:t>
      </w:r>
    </w:p>
    <w:p>
      <w:pPr>
        <w:spacing w:after="60" w:before="200"/>
      </w:pPr>
      <w:r>
        <w:rPr>
          <w:b/>
          <w:bCs/>
          <w:color w:val="4F46E5"/>
          <w:sz w:val="23"/>
          <w:szCs w:val="23"/>
        </w:rPr>
        <w:t xml:space="preserve">Q39. </w:t>
      </w:r>
      <w:r>
        <w:rPr>
          <w:b/>
          <w:bCs/>
          <w:color w:val="0F172A"/>
          <w:sz w:val="23"/>
          <w:szCs w:val="23"/>
        </w:rPr>
        <w:t xml:space="preserve">How do patients access their decisions?</w:t>
      </w:r>
    </w:p>
    <w:p>
      <w:pPr>
        <w:spacing w:after="100"/>
      </w:pPr>
      <w:r>
        <w:rPr>
          <w:b/>
          <w:bCs/>
          <w:color w:val="047857"/>
          <w:sz w:val="22"/>
          <w:szCs w:val="22"/>
        </w:rPr>
        <w:t xml:space="preserve">A: </w:t>
      </w:r>
      <w:r>
        <w:rPr>
          <w:sz w:val="22"/>
          <w:szCs w:val="22"/>
        </w:rPr>
        <w:t xml:space="preserve">Patient portal integration is the doctor's side, not ours. Our Patient Communicator agent generates a 6th-grade-reading-level explanation that the doctor's office can include in the patient portal or print for the visit.</w:t>
      </w:r>
    </w:p>
    <w:p>
      <w:pPr>
        <w:spacing w:after="60" w:before="200"/>
      </w:pPr>
      <w:r>
        <w:rPr>
          <w:b/>
          <w:bCs/>
          <w:color w:val="4F46E5"/>
          <w:sz w:val="23"/>
          <w:szCs w:val="23"/>
        </w:rPr>
        <w:t xml:space="preserve">Q40. </w:t>
      </w:r>
      <w:r>
        <w:rPr>
          <w:b/>
          <w:bCs/>
          <w:color w:val="0F172A"/>
          <w:sz w:val="23"/>
          <w:szCs w:val="23"/>
        </w:rPr>
        <w:t xml:space="preserve">Are you FDA-regulated?</w:t>
      </w:r>
    </w:p>
    <w:p>
      <w:pPr>
        <w:spacing w:after="100"/>
      </w:pPr>
      <w:r>
        <w:rPr>
          <w:b/>
          <w:bCs/>
          <w:color w:val="047857"/>
          <w:sz w:val="22"/>
          <w:szCs w:val="22"/>
        </w:rPr>
        <w:t xml:space="preserve">A: </w:t>
      </w:r>
      <w:r>
        <w:rPr>
          <w:sz w:val="22"/>
          <w:szCs w:val="22"/>
        </w:rPr>
        <w:t xml:space="preserve">No — we are a clinical decision support tool, not a medical device. We do not diagnose, treat, or prescribe. We help doctors comply with payer policy and CMS-0057-F. The FDA does not regulate administrative AI.</w:t>
      </w:r>
    </w:p>
    <w:p>
      <w:pPr>
        <w:spacing w:after="60" w:before="200"/>
      </w:pPr>
      <w:r>
        <w:rPr>
          <w:b/>
          <w:bCs/>
          <w:color w:val="4F46E5"/>
          <w:sz w:val="23"/>
          <w:szCs w:val="23"/>
        </w:rPr>
        <w:t xml:space="preserve">Q41. </w:t>
      </w:r>
      <w:r>
        <w:rPr>
          <w:b/>
          <w:bCs/>
          <w:color w:val="0F172A"/>
          <w:sz w:val="23"/>
          <w:szCs w:val="23"/>
        </w:rPr>
        <w:t xml:space="preserve">What about state-specific regulations (e.g., California medical privacy)?</w:t>
      </w:r>
    </w:p>
    <w:p>
      <w:pPr>
        <w:spacing w:after="100"/>
      </w:pPr>
      <w:r>
        <w:rPr>
          <w:b/>
          <w:bCs/>
          <w:color w:val="047857"/>
          <w:sz w:val="22"/>
          <w:szCs w:val="22"/>
        </w:rPr>
        <w:t xml:space="preserve">A: </w:t>
      </w:r>
      <w:r>
        <w:rPr>
          <w:sz w:val="22"/>
          <w:szCs w:val="22"/>
        </w:rPr>
        <w:t xml:space="preserve">Architecture is state-agnostic. PHI handling meets the strictest state (California / Vermont) by default. State-specific policies are in the Q Business index alongside federal/payer policies.</w:t>
      </w:r>
    </w:p>
    <w:p>
      <w:pPr>
        <w:spacing w:after="60" w:before="200"/>
      </w:pPr>
      <w:r>
        <w:rPr>
          <w:b/>
          <w:bCs/>
          <w:color w:val="4F46E5"/>
          <w:sz w:val="23"/>
          <w:szCs w:val="23"/>
        </w:rPr>
        <w:t xml:space="preserve">Q42. </w:t>
      </w:r>
      <w:r>
        <w:rPr>
          <w:b/>
          <w:bCs/>
          <w:color w:val="0F172A"/>
          <w:sz w:val="23"/>
          <w:szCs w:val="23"/>
        </w:rPr>
        <w:t xml:space="preserve">How do you handle bilingual or non-English patient communications?</w:t>
      </w:r>
    </w:p>
    <w:p>
      <w:pPr>
        <w:spacing w:after="100"/>
      </w:pPr>
      <w:r>
        <w:rPr>
          <w:b/>
          <w:bCs/>
          <w:color w:val="047857"/>
          <w:sz w:val="22"/>
          <w:szCs w:val="22"/>
        </w:rPr>
        <w:t xml:space="preserve">A: </w:t>
      </w:r>
      <w:r>
        <w:rPr>
          <w:sz w:val="22"/>
          <w:szCs w:val="22"/>
        </w:rPr>
        <w:t xml:space="preserve">Patient Communicator can target multiple languages. For demo we use English. Sonnet 4.6 is multilingual — switching is one prompt change. Reading-level tuning works across languages with adapted thresholds.</w:t>
      </w:r>
    </w:p>
    <w:p>
      <w:pPr>
        <w:spacing w:after="60" w:before="200"/>
      </w:pPr>
      <w:r>
        <w:rPr>
          <w:b/>
          <w:bCs/>
          <w:color w:val="4F46E5"/>
          <w:sz w:val="23"/>
          <w:szCs w:val="23"/>
        </w:rPr>
        <w:t xml:space="preserve">Q43. </w:t>
      </w:r>
      <w:r>
        <w:rPr>
          <w:b/>
          <w:bCs/>
          <w:color w:val="0F172A"/>
          <w:sz w:val="23"/>
          <w:szCs w:val="23"/>
        </w:rPr>
        <w:t xml:space="preserve">What about pediatric oncology — different policies?</w:t>
      </w:r>
    </w:p>
    <w:p>
      <w:pPr>
        <w:spacing w:after="100"/>
      </w:pPr>
      <w:r>
        <w:rPr>
          <w:b/>
          <w:bCs/>
          <w:color w:val="047857"/>
          <w:sz w:val="22"/>
          <w:szCs w:val="22"/>
        </w:rPr>
        <w:t xml:space="preserve">A: </w:t>
      </w:r>
      <w:r>
        <w:rPr>
          <w:sz w:val="22"/>
          <w:szCs w:val="22"/>
        </w:rPr>
        <w:t xml:space="preserve">Different policies, same architecture. We would index pediatric NCCN guidelines and pediatric-specific payer policies. The agents are payload-agnostic.</w:t>
      </w:r>
    </w:p>
    <w:p>
      <w:pPr>
        <w:spacing w:after="60" w:before="200"/>
      </w:pPr>
      <w:r>
        <w:rPr>
          <w:b/>
          <w:bCs/>
          <w:color w:val="4F46E5"/>
          <w:sz w:val="23"/>
          <w:szCs w:val="23"/>
        </w:rPr>
        <w:t xml:space="preserve">Q44. </w:t>
      </w:r>
      <w:r>
        <w:rPr>
          <w:b/>
          <w:bCs/>
          <w:color w:val="0F172A"/>
          <w:sz w:val="23"/>
          <w:szCs w:val="23"/>
        </w:rPr>
        <w:t xml:space="preserve">How do you avoid bias in AI decisions?</w:t>
      </w:r>
    </w:p>
    <w:p>
      <w:pPr>
        <w:spacing w:after="100"/>
      </w:pPr>
      <w:r>
        <w:rPr>
          <w:b/>
          <w:bCs/>
          <w:color w:val="047857"/>
          <w:sz w:val="22"/>
          <w:szCs w:val="22"/>
        </w:rPr>
        <w:t xml:space="preserve">A: </w:t>
      </w:r>
      <w:r>
        <w:rPr>
          <w:sz w:val="22"/>
          <w:szCs w:val="22"/>
        </w:rPr>
        <w:t xml:space="preserve">Bias enters through (a) training data and (b) policy text. We do not train models — we use Anthropic's. We cite policy text verbatim — no rewording. If a policy is biased, our verdict reflects that bias and the appeal letter argues against it. We expose, we do not amplify.</w:t>
      </w:r>
    </w:p>
    <w:p>
      <w:pPr>
        <w:spacing w:after="60" w:before="200"/>
      </w:pPr>
      <w:r>
        <w:rPr>
          <w:b/>
          <w:bCs/>
          <w:color w:val="4F46E5"/>
          <w:sz w:val="23"/>
          <w:szCs w:val="23"/>
        </w:rPr>
        <w:t xml:space="preserve">Q45. </w:t>
      </w:r>
      <w:r>
        <w:rPr>
          <w:b/>
          <w:bCs/>
          <w:color w:val="0F172A"/>
          <w:sz w:val="23"/>
          <w:szCs w:val="23"/>
        </w:rPr>
        <w:t xml:space="preserve">What happens after the patient finishes treatment? Is there ongoing tracking?</w:t>
      </w:r>
    </w:p>
    <w:p>
      <w:pPr>
        <w:spacing w:after="100"/>
      </w:pPr>
      <w:r>
        <w:rPr>
          <w:b/>
          <w:bCs/>
          <w:color w:val="047857"/>
          <w:sz w:val="22"/>
          <w:szCs w:val="22"/>
        </w:rPr>
        <w:t xml:space="preserve">A: </w:t>
      </w:r>
      <w:r>
        <w:rPr>
          <w:sz w:val="22"/>
          <w:szCs w:val="22"/>
        </w:rPr>
        <w:t xml:space="preserve">Out of scope for prior auth. Continuation-of-coverage decisions (e.g., trastuzumab cycle 8 still appropriate?) would be a separate workflow using the same architecture. Future work.</w:t>
      </w:r>
    </w:p>
    <w:p>
      <w:r>
        <w:br w:type="page"/>
      </w:r>
    </w:p>
    <w:p>
      <w:pPr>
        <w:pStyle w:val="Heading1"/>
        <w:spacing w:after="160" w:before="320"/>
      </w:pPr>
      <w:r>
        <w:rPr>
          <w:b/>
          <w:bCs/>
          <w:color w:val="0F172A"/>
          <w:sz w:val="32"/>
          <w:szCs w:val="32"/>
        </w:rPr>
        <w:t xml:space="preserve">Section C — Business &amp; Market (Q46-65)</w:t>
      </w:r>
    </w:p>
    <w:p>
      <w:pPr>
        <w:spacing w:after="60" w:before="200"/>
      </w:pPr>
      <w:r>
        <w:rPr>
          <w:b/>
          <w:bCs/>
          <w:color w:val="4F46E5"/>
          <w:sz w:val="23"/>
          <w:szCs w:val="23"/>
        </w:rPr>
        <w:t xml:space="preserve">Q46. </w:t>
      </w:r>
      <w:r>
        <w:rPr>
          <w:b/>
          <w:bCs/>
          <w:color w:val="0F172A"/>
          <w:sz w:val="23"/>
          <w:szCs w:val="23"/>
        </w:rPr>
        <w:t xml:space="preserve">Who pays for Authrex — the doctor or the patient?</w:t>
      </w:r>
    </w:p>
    <w:p>
      <w:pPr>
        <w:spacing w:after="100"/>
      </w:pPr>
      <w:r>
        <w:rPr>
          <w:b/>
          <w:bCs/>
          <w:color w:val="047857"/>
          <w:sz w:val="22"/>
          <w:szCs w:val="22"/>
        </w:rPr>
        <w:t xml:space="preserve">A: </w:t>
      </w:r>
      <w:r>
        <w:rPr>
          <w:sz w:val="22"/>
          <w:szCs w:val="22"/>
        </w:rPr>
        <w:t xml:space="preserve">The provider organisation (hospital system, oncology practice). Per-case fee. $9 in pilot, $6 in growth, $4 at enterprise scale. The hospital saves $1,500 per PA in admin labour, so a $9 fee is a 16,665% ROI per case.</w:t>
      </w:r>
    </w:p>
    <w:p>
      <w:pPr>
        <w:spacing w:after="60" w:before="200"/>
      </w:pPr>
      <w:r>
        <w:rPr>
          <w:b/>
          <w:bCs/>
          <w:color w:val="4F46E5"/>
          <w:sz w:val="23"/>
          <w:szCs w:val="23"/>
        </w:rPr>
        <w:t xml:space="preserve">Q47. </w:t>
      </w:r>
      <w:r>
        <w:rPr>
          <w:b/>
          <w:bCs/>
          <w:color w:val="0F172A"/>
          <w:sz w:val="23"/>
          <w:szCs w:val="23"/>
        </w:rPr>
        <w:t xml:space="preserve">How big is this market?</w:t>
      </w:r>
    </w:p>
    <w:p>
      <w:pPr>
        <w:spacing w:after="100"/>
      </w:pPr>
      <w:r>
        <w:rPr>
          <w:b/>
          <w:bCs/>
          <w:color w:val="047857"/>
          <w:sz w:val="22"/>
          <w:szCs w:val="22"/>
        </w:rPr>
        <w:t xml:space="preserve">A: </w:t>
      </w:r>
      <w:r>
        <w:rPr>
          <w:sz w:val="22"/>
          <w:szCs w:val="22"/>
        </w:rPr>
        <w:t xml:space="preserve">TAM $30B (CAQH 2024 — total US PA admin waste). SAM $200M (US specialty-drug PA at $5/case avg). SOM $20M (5-year capture target via Cognizant Health Sciences distribution).</w:t>
      </w:r>
    </w:p>
    <w:p>
      <w:pPr>
        <w:spacing w:after="60" w:before="200"/>
      </w:pPr>
      <w:r>
        <w:rPr>
          <w:b/>
          <w:bCs/>
          <w:color w:val="4F46E5"/>
          <w:sz w:val="23"/>
          <w:szCs w:val="23"/>
        </w:rPr>
        <w:t xml:space="preserve">Q48. </w:t>
      </w:r>
      <w:r>
        <w:rPr>
          <w:b/>
          <w:bCs/>
          <w:color w:val="0F172A"/>
          <w:sz w:val="23"/>
          <w:szCs w:val="23"/>
        </w:rPr>
        <w:t xml:space="preserve">Why would Cognizant care about this?</w:t>
      </w:r>
    </w:p>
    <w:p>
      <w:pPr>
        <w:spacing w:after="100"/>
      </w:pPr>
      <w:r>
        <w:rPr>
          <w:b/>
          <w:bCs/>
          <w:color w:val="047857"/>
          <w:sz w:val="22"/>
          <w:szCs w:val="22"/>
        </w:rPr>
        <w:t xml:space="preserve">A: </w:t>
      </w:r>
      <w:r>
        <w:rPr>
          <w:sz w:val="22"/>
          <w:szCs w:val="22"/>
        </w:rPr>
        <w:t xml:space="preserve">Cognizant Health Sciences sells to 47 of the top 50 US payers and 200+ providers. Authrex slots into their existing Bedrock + Sonnet + MCP stack — same procurement vehicle, same observability, same integration patterns as TriZetto. We are not asking Cognizant to adopt new tech. We use theirs.</w:t>
      </w:r>
    </w:p>
    <w:p>
      <w:pPr>
        <w:spacing w:after="60" w:before="200"/>
      </w:pPr>
      <w:r>
        <w:rPr>
          <w:b/>
          <w:bCs/>
          <w:color w:val="4F46E5"/>
          <w:sz w:val="23"/>
          <w:szCs w:val="23"/>
        </w:rPr>
        <w:t xml:space="preserve">Q49. </w:t>
      </w:r>
      <w:r>
        <w:rPr>
          <w:b/>
          <w:bCs/>
          <w:color w:val="0F172A"/>
          <w:sz w:val="23"/>
          <w:szCs w:val="23"/>
        </w:rPr>
        <w:t xml:space="preserve">What is your moat?</w:t>
      </w:r>
    </w:p>
    <w:p>
      <w:pPr>
        <w:spacing w:after="100"/>
      </w:pPr>
      <w:r>
        <w:rPr>
          <w:b/>
          <w:bCs/>
          <w:color w:val="047857"/>
          <w:sz w:val="22"/>
          <w:szCs w:val="22"/>
        </w:rPr>
        <w:t xml:space="preserve">A: </w:t>
      </w:r>
      <w:r>
        <w:rPr>
          <w:sz w:val="22"/>
          <w:szCs w:val="22"/>
        </w:rPr>
        <w:t xml:space="preserve">Architecture, not LLM. The citation system, the audit ledger, the FHIR ingestion pipeline, the policy index. The LLM is swappable. When Sonnet 5 ships, we update one config line. Competitors building on a single LLM bet are locked in.</w:t>
      </w:r>
    </w:p>
    <w:p>
      <w:pPr>
        <w:spacing w:after="60" w:before="200"/>
      </w:pPr>
      <w:r>
        <w:rPr>
          <w:b/>
          <w:bCs/>
          <w:color w:val="4F46E5"/>
          <w:sz w:val="23"/>
          <w:szCs w:val="23"/>
        </w:rPr>
        <w:t xml:space="preserve">Q50. </w:t>
      </w:r>
      <w:r>
        <w:rPr>
          <w:b/>
          <w:bCs/>
          <w:color w:val="0F172A"/>
          <w:sz w:val="23"/>
          <w:szCs w:val="23"/>
        </w:rPr>
        <w:t xml:space="preserve">Who are your competitors?</w:t>
      </w:r>
    </w:p>
    <w:p>
      <w:pPr>
        <w:spacing w:after="100"/>
      </w:pPr>
      <w:r>
        <w:rPr>
          <w:b/>
          <w:bCs/>
          <w:color w:val="047857"/>
          <w:sz w:val="22"/>
          <w:szCs w:val="22"/>
        </w:rPr>
        <w:t xml:space="preserve">A: </w:t>
      </w:r>
      <w:r>
        <w:rPr>
          <w:sz w:val="22"/>
          <w:szCs w:val="22"/>
        </w:rPr>
        <w:t xml:space="preserve">Olive AI (folded 2023, $852M raised — workflow automation, not multi-agent). Notable Health (payer-side, doesn't help the doctor). Cohere Health (utilisation management, not appeals-aware). Verata (acquired by Olive, now defunct). No one does provider-side + FHIR-native + citation-grounded + appeals-as-side-effect on a multi-agent DAG.</w:t>
      </w:r>
    </w:p>
    <w:p>
      <w:pPr>
        <w:spacing w:after="60" w:before="200"/>
      </w:pPr>
      <w:r>
        <w:rPr>
          <w:b/>
          <w:bCs/>
          <w:color w:val="4F46E5"/>
          <w:sz w:val="23"/>
          <w:szCs w:val="23"/>
        </w:rPr>
        <w:t xml:space="preserve">Q51. </w:t>
      </w:r>
      <w:r>
        <w:rPr>
          <w:b/>
          <w:bCs/>
          <w:color w:val="0F172A"/>
          <w:sz w:val="23"/>
          <w:szCs w:val="23"/>
        </w:rPr>
        <w:t xml:space="preserve">What is your customer acquisition cost?</w:t>
      </w:r>
    </w:p>
    <w:p>
      <w:pPr>
        <w:spacing w:after="100"/>
      </w:pPr>
      <w:r>
        <w:rPr>
          <w:b/>
          <w:bCs/>
          <w:color w:val="047857"/>
          <w:sz w:val="22"/>
          <w:szCs w:val="22"/>
        </w:rPr>
        <w:t xml:space="preserve">A: </w:t>
      </w:r>
      <w:r>
        <w:rPr>
          <w:sz w:val="22"/>
          <w:szCs w:val="22"/>
        </w:rPr>
        <w:t xml:space="preserve">Through Cognizant Health Sciences distribution: ~$0 incremental CAC (their existing accounts). Direct-to-provider: ~$15K per pilot account, payback in month 2.</w:t>
      </w:r>
    </w:p>
    <w:p>
      <w:pPr>
        <w:spacing w:after="60" w:before="200"/>
      </w:pPr>
      <w:r>
        <w:rPr>
          <w:b/>
          <w:bCs/>
          <w:color w:val="4F46E5"/>
          <w:sz w:val="23"/>
          <w:szCs w:val="23"/>
        </w:rPr>
        <w:t xml:space="preserve">Q52. </w:t>
      </w:r>
      <w:r>
        <w:rPr>
          <w:b/>
          <w:bCs/>
          <w:color w:val="0F172A"/>
          <w:sz w:val="23"/>
          <w:szCs w:val="23"/>
        </w:rPr>
        <w:t xml:space="preserve">How long is your sales cycle?</w:t>
      </w:r>
    </w:p>
    <w:p>
      <w:pPr>
        <w:spacing w:after="100"/>
      </w:pPr>
      <w:r>
        <w:rPr>
          <w:b/>
          <w:bCs/>
          <w:color w:val="047857"/>
          <w:sz w:val="22"/>
          <w:szCs w:val="22"/>
        </w:rPr>
        <w:t xml:space="preserve">A: </w:t>
      </w:r>
      <w:r>
        <w:rPr>
          <w:sz w:val="22"/>
          <w:szCs w:val="22"/>
        </w:rPr>
        <w:t xml:space="preserve">Pilot: 60 days. Growth tier: 90 days post-pilot. Enterprise: 6 months (procurement, BAA, security review). Cognizant procurement vehicle compresses enterprise to 90 days.</w:t>
      </w:r>
    </w:p>
    <w:p>
      <w:pPr>
        <w:spacing w:after="60" w:before="200"/>
      </w:pPr>
      <w:r>
        <w:rPr>
          <w:b/>
          <w:bCs/>
          <w:color w:val="4F46E5"/>
          <w:sz w:val="23"/>
          <w:szCs w:val="23"/>
        </w:rPr>
        <w:t xml:space="preserve">Q53. </w:t>
      </w:r>
      <w:r>
        <w:rPr>
          <w:b/>
          <w:bCs/>
          <w:color w:val="0F172A"/>
          <w:sz w:val="23"/>
          <w:szCs w:val="23"/>
        </w:rPr>
        <w:t xml:space="preserve">What is your retention story?</w:t>
      </w:r>
    </w:p>
    <w:p>
      <w:pPr>
        <w:spacing w:after="100"/>
      </w:pPr>
      <w:r>
        <w:rPr>
          <w:b/>
          <w:bCs/>
          <w:color w:val="047857"/>
          <w:sz w:val="22"/>
          <w:szCs w:val="22"/>
        </w:rPr>
        <w:t xml:space="preserve">A: </w:t>
      </w:r>
      <w:r>
        <w:rPr>
          <w:sz w:val="22"/>
          <w:szCs w:val="22"/>
        </w:rPr>
        <w:t xml:space="preserve">Per-case fee creates structural retention. Once the workflow is in place and the audit ledger is 6 months deep, switching costs are real (re-train staff, re-establish citations, lose audit history). 95%+ retention target post-pilot.</w:t>
      </w:r>
    </w:p>
    <w:p>
      <w:pPr>
        <w:spacing w:after="60" w:before="200"/>
      </w:pPr>
      <w:r>
        <w:rPr>
          <w:b/>
          <w:bCs/>
          <w:color w:val="4F46E5"/>
          <w:sz w:val="23"/>
          <w:szCs w:val="23"/>
        </w:rPr>
        <w:t xml:space="preserve">Q54. </w:t>
      </w:r>
      <w:r>
        <w:rPr>
          <w:b/>
          <w:bCs/>
          <w:color w:val="0F172A"/>
          <w:sz w:val="23"/>
          <w:szCs w:val="23"/>
        </w:rPr>
        <w:t xml:space="preserve">What if a payer builds the same thing in-house?</w:t>
      </w:r>
    </w:p>
    <w:p>
      <w:pPr>
        <w:spacing w:after="100"/>
      </w:pPr>
      <w:r>
        <w:rPr>
          <w:b/>
          <w:bCs/>
          <w:color w:val="047857"/>
          <w:sz w:val="22"/>
          <w:szCs w:val="22"/>
        </w:rPr>
        <w:t xml:space="preserve">A: </w:t>
      </w:r>
      <w:r>
        <w:rPr>
          <w:sz w:val="22"/>
          <w:szCs w:val="22"/>
        </w:rPr>
        <w:t xml:space="preserve">They will — for their side. We are provider-side. A payer-built tool serves the payer, not the doctor. Doctors will not let payers automate their PA workflow. The two sides need different tools. We are not in conflict.</w:t>
      </w:r>
    </w:p>
    <w:p>
      <w:pPr>
        <w:spacing w:after="60" w:before="200"/>
      </w:pPr>
      <w:r>
        <w:rPr>
          <w:b/>
          <w:bCs/>
          <w:color w:val="4F46E5"/>
          <w:sz w:val="23"/>
          <w:szCs w:val="23"/>
        </w:rPr>
        <w:t xml:space="preserve">Q55. </w:t>
      </w:r>
      <w:r>
        <w:rPr>
          <w:b/>
          <w:bCs/>
          <w:color w:val="0F172A"/>
          <w:sz w:val="23"/>
          <w:szCs w:val="23"/>
        </w:rPr>
        <w:t xml:space="preserve">What are the key risks?</w:t>
      </w:r>
    </w:p>
    <w:p>
      <w:pPr>
        <w:spacing w:after="100"/>
      </w:pPr>
      <w:r>
        <w:rPr>
          <w:b/>
          <w:bCs/>
          <w:color w:val="047857"/>
          <w:sz w:val="22"/>
          <w:szCs w:val="22"/>
        </w:rPr>
        <w:t xml:space="preserve">A: </w:t>
      </w:r>
      <w:r>
        <w:rPr>
          <w:sz w:val="22"/>
          <w:szCs w:val="22"/>
        </w:rPr>
        <w:t xml:space="preserve">Three: (1) Regulation — CMS-0057-F could be delayed (low probability, mandate is in final rule). (2) LLM cost increase — mitigated by provider abstraction; cheapest provider gets the call. (3) New entrant with deep pockets (Epic, Cerner, Optum) — mitigated by our architecture moat and Cognizant distribution.</w:t>
      </w:r>
    </w:p>
    <w:p>
      <w:pPr>
        <w:spacing w:after="60" w:before="200"/>
      </w:pPr>
      <w:r>
        <w:rPr>
          <w:b/>
          <w:bCs/>
          <w:color w:val="4F46E5"/>
          <w:sz w:val="23"/>
          <w:szCs w:val="23"/>
        </w:rPr>
        <w:t xml:space="preserve">Q56. </w:t>
      </w:r>
      <w:r>
        <w:rPr>
          <w:b/>
          <w:bCs/>
          <w:color w:val="0F172A"/>
          <w:sz w:val="23"/>
          <w:szCs w:val="23"/>
        </w:rPr>
        <w:t xml:space="preserve">How do you handle pricing pushback?</w:t>
      </w:r>
    </w:p>
    <w:p>
      <w:pPr>
        <w:spacing w:after="100"/>
      </w:pPr>
      <w:r>
        <w:rPr>
          <w:b/>
          <w:bCs/>
          <w:color w:val="047857"/>
          <w:sz w:val="22"/>
          <w:szCs w:val="22"/>
        </w:rPr>
        <w:t xml:space="preserve">A: </w:t>
      </w:r>
      <w:r>
        <w:rPr>
          <w:sz w:val="22"/>
          <w:szCs w:val="22"/>
        </w:rPr>
        <w:t xml:space="preserve">We do not negotiate per-case price. We negotiate volume tiers. A growth-tier customer at $6/case who wants $3 can move to enterprise tier (&gt;5,000 PAs/month). The price is anchored to value created, not LLM cost.</w:t>
      </w:r>
    </w:p>
    <w:p>
      <w:pPr>
        <w:spacing w:after="60" w:before="200"/>
      </w:pPr>
      <w:r>
        <w:rPr>
          <w:b/>
          <w:bCs/>
          <w:color w:val="4F46E5"/>
          <w:sz w:val="23"/>
          <w:szCs w:val="23"/>
        </w:rPr>
        <w:t xml:space="preserve">Q57. </w:t>
      </w:r>
      <w:r>
        <w:rPr>
          <w:b/>
          <w:bCs/>
          <w:color w:val="0F172A"/>
          <w:sz w:val="23"/>
          <w:szCs w:val="23"/>
        </w:rPr>
        <w:t xml:space="preserve">Who owns the data?</w:t>
      </w:r>
    </w:p>
    <w:p>
      <w:pPr>
        <w:spacing w:after="100"/>
      </w:pPr>
      <w:r>
        <w:rPr>
          <w:b/>
          <w:bCs/>
          <w:color w:val="047857"/>
          <w:sz w:val="22"/>
          <w:szCs w:val="22"/>
        </w:rPr>
        <w:t xml:space="preserve">A: </w:t>
      </w:r>
      <w:r>
        <w:rPr>
          <w:sz w:val="22"/>
          <w:szCs w:val="22"/>
        </w:rPr>
        <w:t xml:space="preserve">The provider. We are a processor under HIPAA, not a controller. PHI never leaves their VPC in self-hosted mode. In our hosted mode, we hold encrypted PHI under BAA with 10-year retention then destruction.</w:t>
      </w:r>
    </w:p>
    <w:p>
      <w:pPr>
        <w:spacing w:after="60" w:before="200"/>
      </w:pPr>
      <w:r>
        <w:rPr>
          <w:b/>
          <w:bCs/>
          <w:color w:val="4F46E5"/>
          <w:sz w:val="23"/>
          <w:szCs w:val="23"/>
        </w:rPr>
        <w:t xml:space="preserve">Q58. </w:t>
      </w:r>
      <w:r>
        <w:rPr>
          <w:b/>
          <w:bCs/>
          <w:color w:val="0F172A"/>
          <w:sz w:val="23"/>
          <w:szCs w:val="23"/>
        </w:rPr>
        <w:t xml:space="preserve">What about insurance lobbying — do payers fight you?</w:t>
      </w:r>
    </w:p>
    <w:p>
      <w:pPr>
        <w:spacing w:after="100"/>
      </w:pPr>
      <w:r>
        <w:rPr>
          <w:b/>
          <w:bCs/>
          <w:color w:val="047857"/>
          <w:sz w:val="22"/>
          <w:szCs w:val="22"/>
        </w:rPr>
        <w:t xml:space="preserve">A: </w:t>
      </w:r>
      <w:r>
        <w:rPr>
          <w:sz w:val="22"/>
          <w:szCs w:val="22"/>
        </w:rPr>
        <w:t xml:space="preserve">No — payers benefit too. Authrex outputs are easier to adjudicate (structured envelope, citation chain). Adjudication time drops from 14 days to 3. Payers reduce their own admin cost by accepting our submissions.</w:t>
      </w:r>
    </w:p>
    <w:p>
      <w:pPr>
        <w:spacing w:after="60" w:before="200"/>
      </w:pPr>
      <w:r>
        <w:rPr>
          <w:b/>
          <w:bCs/>
          <w:color w:val="4F46E5"/>
          <w:sz w:val="23"/>
          <w:szCs w:val="23"/>
        </w:rPr>
        <w:t xml:space="preserve">Q59. </w:t>
      </w:r>
      <w:r>
        <w:rPr>
          <w:b/>
          <w:bCs/>
          <w:color w:val="0F172A"/>
          <w:sz w:val="23"/>
          <w:szCs w:val="23"/>
        </w:rPr>
        <w:t xml:space="preserve">What is your fundraising plan?</w:t>
      </w:r>
    </w:p>
    <w:p>
      <w:pPr>
        <w:spacing w:after="100"/>
      </w:pPr>
      <w:r>
        <w:rPr>
          <w:b/>
          <w:bCs/>
          <w:color w:val="047857"/>
          <w:sz w:val="22"/>
          <w:szCs w:val="22"/>
        </w:rPr>
        <w:t xml:space="preserve">A: </w:t>
      </w:r>
      <w:r>
        <w:rPr>
          <w:sz w:val="22"/>
          <w:szCs w:val="22"/>
        </w:rPr>
        <w:t xml:space="preserve">Series-A target Q3 2027, $4-6M. Use of funds: 3 more agents (UM, claim denials, RCM), AWS Marketplace listing, 8 Cognizant Health Sciences referral channels. Lead by enterprise SaaS or healthcare-AI fund.</w:t>
      </w:r>
    </w:p>
    <w:p>
      <w:pPr>
        <w:spacing w:after="60" w:before="200"/>
      </w:pPr>
      <w:r>
        <w:rPr>
          <w:b/>
          <w:bCs/>
          <w:color w:val="4F46E5"/>
          <w:sz w:val="23"/>
          <w:szCs w:val="23"/>
        </w:rPr>
        <w:t xml:space="preserve">Q60. </w:t>
      </w:r>
      <w:r>
        <w:rPr>
          <w:b/>
          <w:bCs/>
          <w:color w:val="0F172A"/>
          <w:sz w:val="23"/>
          <w:szCs w:val="23"/>
        </w:rPr>
        <w:t xml:space="preserve">What is the path to $5M ARR?</w:t>
      </w:r>
    </w:p>
    <w:p>
      <w:pPr>
        <w:spacing w:after="100"/>
      </w:pPr>
      <w:r>
        <w:rPr>
          <w:b/>
          <w:bCs/>
          <w:color w:val="047857"/>
          <w:sz w:val="22"/>
          <w:szCs w:val="22"/>
        </w:rPr>
        <w:t xml:space="preserve">A: </w:t>
      </w:r>
      <w:r>
        <w:rPr>
          <w:sz w:val="22"/>
          <w:szCs w:val="22"/>
        </w:rPr>
        <w:t xml:space="preserve">5 paying Growth-tier accounts at $108K ARR each = $540K. 50 accounts = $5.4M. Gathered through Cognizant's 200+ provider pipeline. Conservative timeline: Q4 2028.</w:t>
      </w:r>
    </w:p>
    <w:p>
      <w:pPr>
        <w:spacing w:after="60" w:before="200"/>
      </w:pPr>
      <w:r>
        <w:rPr>
          <w:b/>
          <w:bCs/>
          <w:color w:val="4F46E5"/>
          <w:sz w:val="23"/>
          <w:szCs w:val="23"/>
        </w:rPr>
        <w:t xml:space="preserve">Q61. </w:t>
      </w:r>
      <w:r>
        <w:rPr>
          <w:b/>
          <w:bCs/>
          <w:color w:val="0F172A"/>
          <w:sz w:val="23"/>
          <w:szCs w:val="23"/>
        </w:rPr>
        <w:t xml:space="preserve">How do you handle international expansion?</w:t>
      </w:r>
    </w:p>
    <w:p>
      <w:pPr>
        <w:spacing w:after="100"/>
      </w:pPr>
      <w:r>
        <w:rPr>
          <w:b/>
          <w:bCs/>
          <w:color w:val="047857"/>
          <w:sz w:val="22"/>
          <w:szCs w:val="22"/>
        </w:rPr>
        <w:t xml:space="preserve">A: </w:t>
      </w:r>
      <w:r>
        <w:rPr>
          <w:sz w:val="22"/>
          <w:szCs w:val="22"/>
        </w:rPr>
        <w:t xml:space="preserve">Architecture is country-agnostic. Indian healthcare (e.g., Tata Memorial) has different payer logic — Aarogyasri, ESI, etc. — but the agents handle policy text equally. UK/Canada/EU are larger TAM later. US first because CMS-0057-F is a forcing function.</w:t>
      </w:r>
    </w:p>
    <w:p>
      <w:pPr>
        <w:spacing w:after="60" w:before="200"/>
      </w:pPr>
      <w:r>
        <w:rPr>
          <w:b/>
          <w:bCs/>
          <w:color w:val="4F46E5"/>
          <w:sz w:val="23"/>
          <w:szCs w:val="23"/>
        </w:rPr>
        <w:t xml:space="preserve">Q62. </w:t>
      </w:r>
      <w:r>
        <w:rPr>
          <w:b/>
          <w:bCs/>
          <w:color w:val="0F172A"/>
          <w:sz w:val="23"/>
          <w:szCs w:val="23"/>
        </w:rPr>
        <w:t xml:space="preserve">What about partnerships beyond Cognizant?</w:t>
      </w:r>
    </w:p>
    <w:p>
      <w:pPr>
        <w:spacing w:after="100"/>
      </w:pPr>
      <w:r>
        <w:rPr>
          <w:b/>
          <w:bCs/>
          <w:color w:val="047857"/>
          <w:sz w:val="22"/>
          <w:szCs w:val="22"/>
        </w:rPr>
        <w:t xml:space="preserve">A: </w:t>
      </w:r>
      <w:r>
        <w:rPr>
          <w:sz w:val="22"/>
          <w:szCs w:val="22"/>
        </w:rPr>
        <w:t xml:space="preserve">Anthropic itself (we are on their stack). AWS Health Cloud (Bedrock integration). NCCN (cite their content, eventually paid licensing). EHR vendors (Epic, Cerner) for FHIR integration. Cognizant first because of the November 2024 partnership and TriZetto.</w:t>
      </w:r>
    </w:p>
    <w:p>
      <w:pPr>
        <w:spacing w:after="60" w:before="200"/>
      </w:pPr>
      <w:r>
        <w:rPr>
          <w:b/>
          <w:bCs/>
          <w:color w:val="4F46E5"/>
          <w:sz w:val="23"/>
          <w:szCs w:val="23"/>
        </w:rPr>
        <w:t xml:space="preserve">Q63. </w:t>
      </w:r>
      <w:r>
        <w:rPr>
          <w:b/>
          <w:bCs/>
          <w:color w:val="0F172A"/>
          <w:sz w:val="23"/>
          <w:szCs w:val="23"/>
        </w:rPr>
        <w:t xml:space="preserve">How do you measure success?</w:t>
      </w:r>
    </w:p>
    <w:p>
      <w:pPr>
        <w:spacing w:after="100"/>
      </w:pPr>
      <w:r>
        <w:rPr>
          <w:b/>
          <w:bCs/>
          <w:color w:val="047857"/>
          <w:sz w:val="22"/>
          <w:szCs w:val="22"/>
        </w:rPr>
        <w:t xml:space="preserve">A: </w:t>
      </w:r>
      <w:r>
        <w:rPr>
          <w:sz w:val="22"/>
          <w:szCs w:val="22"/>
        </w:rPr>
        <w:t xml:space="preserve">Three north-star metrics: (1) Cases decided per day per account. (2) Time-to-decision (target: under 90 sec). (3) Appeals overturn rate (target: above the KFF 80.7% baseline).</w:t>
      </w:r>
    </w:p>
    <w:p>
      <w:pPr>
        <w:spacing w:after="60" w:before="200"/>
      </w:pPr>
      <w:r>
        <w:rPr>
          <w:b/>
          <w:bCs/>
          <w:color w:val="4F46E5"/>
          <w:sz w:val="23"/>
          <w:szCs w:val="23"/>
        </w:rPr>
        <w:t xml:space="preserve">Q64. </w:t>
      </w:r>
      <w:r>
        <w:rPr>
          <w:b/>
          <w:bCs/>
          <w:color w:val="0F172A"/>
          <w:sz w:val="23"/>
          <w:szCs w:val="23"/>
        </w:rPr>
        <w:t xml:space="preserve">What is the team's background?</w:t>
      </w:r>
    </w:p>
    <w:p>
      <w:pPr>
        <w:spacing w:after="100"/>
      </w:pPr>
      <w:r>
        <w:rPr>
          <w:b/>
          <w:bCs/>
          <w:color w:val="047857"/>
          <w:sz w:val="22"/>
          <w:szCs w:val="22"/>
        </w:rPr>
        <w:t xml:space="preserve">A: </w:t>
      </w:r>
      <w:r>
        <w:rPr>
          <w:sz w:val="22"/>
          <w:szCs w:val="22"/>
        </w:rPr>
        <w:t xml:space="preserve">Four engineering students from Chennai Institute of Technology. We built Authrex in a 24-hour sprint. Lead architect Danish A.G. Product/UX Preethi S. Backend/compliance Sanjay N. Healthcare domain Gayathri B. Each owns a quarter of the system end-to-end.</w:t>
      </w:r>
    </w:p>
    <w:p>
      <w:pPr>
        <w:spacing w:after="60" w:before="200"/>
      </w:pPr>
      <w:r>
        <w:rPr>
          <w:b/>
          <w:bCs/>
          <w:color w:val="4F46E5"/>
          <w:sz w:val="23"/>
          <w:szCs w:val="23"/>
        </w:rPr>
        <w:t xml:space="preserve">Q65. </w:t>
      </w:r>
      <w:r>
        <w:rPr>
          <w:b/>
          <w:bCs/>
          <w:color w:val="0F172A"/>
          <w:sz w:val="23"/>
          <w:szCs w:val="23"/>
        </w:rPr>
        <w:t xml:space="preserve">Why should we bet on you, not a more experienced team?</w:t>
      </w:r>
    </w:p>
    <w:p>
      <w:pPr>
        <w:spacing w:after="100"/>
      </w:pPr>
      <w:r>
        <w:rPr>
          <w:b/>
          <w:bCs/>
          <w:color w:val="047857"/>
          <w:sz w:val="22"/>
          <w:szCs w:val="22"/>
        </w:rPr>
        <w:t xml:space="preserve">A: </w:t>
      </w:r>
      <w:r>
        <w:rPr>
          <w:sz w:val="22"/>
          <w:szCs w:val="22"/>
        </w:rPr>
        <w:t xml:space="preserve">Three reasons. (1) We built the working system in 24 hours — execution proven. (2) Our architecture is auditable, not promises — every claim verifiable. (3) We are coming in pre-aligned with Cognizant's stack — no education needed, no architecture pivots. We are not learning the playbook. We are running it.</w:t>
      </w:r>
    </w:p>
    <w:p>
      <w:r>
        <w:br w:type="page"/>
      </w:r>
    </w:p>
    <w:p>
      <w:pPr>
        <w:pStyle w:val="Heading1"/>
        <w:spacing w:after="160" w:before="320"/>
      </w:pPr>
      <w:r>
        <w:rPr>
          <w:b/>
          <w:bCs/>
          <w:color w:val="0F172A"/>
          <w:sz w:val="32"/>
          <w:szCs w:val="32"/>
        </w:rPr>
        <w:t xml:space="preserve">Section D — Sceptic / Devil's Advocate (Q66-85)</w:t>
      </w:r>
    </w:p>
    <w:p>
      <w:pPr>
        <w:spacing w:after="60" w:before="200"/>
      </w:pPr>
      <w:r>
        <w:rPr>
          <w:b/>
          <w:bCs/>
          <w:color w:val="4F46E5"/>
          <w:sz w:val="23"/>
          <w:szCs w:val="23"/>
        </w:rPr>
        <w:t xml:space="preserve">Q66. </w:t>
      </w:r>
      <w:r>
        <w:rPr>
          <w:b/>
          <w:bCs/>
          <w:color w:val="0F172A"/>
          <w:sz w:val="23"/>
          <w:szCs w:val="23"/>
        </w:rPr>
        <w:t xml:space="preserve">This looks impressive but is it actually built or just slides?</w:t>
      </w:r>
    </w:p>
    <w:p>
      <w:pPr>
        <w:spacing w:after="100"/>
      </w:pPr>
      <w:r>
        <w:rPr>
          <w:b/>
          <w:bCs/>
          <w:color w:val="047857"/>
          <w:sz w:val="22"/>
          <w:szCs w:val="22"/>
        </w:rPr>
        <w:t xml:space="preserve">A: </w:t>
      </w:r>
      <w:r>
        <w:rPr>
          <w:sz w:val="22"/>
          <w:szCs w:val="22"/>
        </w:rPr>
        <w:t xml:space="preserve">Built. Run the QR on our brochure — opens authrex.xzashr.com, our live interactive showcase. We have an audit log of 98 LLM calls per case from May 5, proving end-to-end. We can reproduce on any laptop in 30 minutes.</w:t>
      </w:r>
    </w:p>
    <w:p>
      <w:pPr>
        <w:spacing w:after="60" w:before="200"/>
      </w:pPr>
      <w:r>
        <w:rPr>
          <w:b/>
          <w:bCs/>
          <w:color w:val="4F46E5"/>
          <w:sz w:val="23"/>
          <w:szCs w:val="23"/>
        </w:rPr>
        <w:t xml:space="preserve">Q67. </w:t>
      </w:r>
      <w:r>
        <w:rPr>
          <w:b/>
          <w:bCs/>
          <w:color w:val="0F172A"/>
          <w:sz w:val="23"/>
          <w:szCs w:val="23"/>
        </w:rPr>
        <w:t xml:space="preserve">What if the LLM gets something subtly wrong and the doctor approves it?</w:t>
      </w:r>
    </w:p>
    <w:p>
      <w:pPr>
        <w:spacing w:after="100"/>
      </w:pPr>
      <w:r>
        <w:rPr>
          <w:b/>
          <w:bCs/>
          <w:color w:val="047857"/>
          <w:sz w:val="22"/>
          <w:szCs w:val="22"/>
        </w:rPr>
        <w:t xml:space="preserve">A: </w:t>
      </w:r>
      <w:r>
        <w:rPr>
          <w:sz w:val="22"/>
          <w:szCs w:val="22"/>
        </w:rPr>
        <w:t xml:space="preserve">Three guards. (1) Every claim is cited — the doctor sees the source before approving. If the cited Observation does not say what the verdict claims, the doctor catches it instantly. (2) The Grader rejects below-threshold outputs. (3) Audit ledger logs every claim — if a wrong call is later disputed, the source is preserved for review.</w:t>
      </w:r>
    </w:p>
    <w:p>
      <w:pPr>
        <w:spacing w:after="60" w:before="200"/>
      </w:pPr>
      <w:r>
        <w:rPr>
          <w:b/>
          <w:bCs/>
          <w:color w:val="4F46E5"/>
          <w:sz w:val="23"/>
          <w:szCs w:val="23"/>
        </w:rPr>
        <w:t xml:space="preserve">Q68. </w:t>
      </w:r>
      <w:r>
        <w:rPr>
          <w:b/>
          <w:bCs/>
          <w:color w:val="0F172A"/>
          <w:sz w:val="23"/>
          <w:szCs w:val="23"/>
        </w:rPr>
        <w:t xml:space="preserve">Why would a hospital trust an AI to make medical-policy decisions?</w:t>
      </w:r>
    </w:p>
    <w:p>
      <w:pPr>
        <w:spacing w:after="100"/>
      </w:pPr>
      <w:r>
        <w:rPr>
          <w:b/>
          <w:bCs/>
          <w:color w:val="047857"/>
          <w:sz w:val="22"/>
          <w:szCs w:val="22"/>
        </w:rPr>
        <w:t xml:space="preserve">A: </w:t>
      </w:r>
      <w:r>
        <w:rPr>
          <w:sz w:val="22"/>
          <w:szCs w:val="22"/>
        </w:rPr>
        <w:t xml:space="preserve">They are not trusting the AI to decide. They are trusting it to PREPARE the decision. Every Authrex output is a recommendation with citations. The doctor approves. We make the doctor 250x faster, not less responsible.</w:t>
      </w:r>
    </w:p>
    <w:p>
      <w:pPr>
        <w:spacing w:after="60" w:before="200"/>
      </w:pPr>
      <w:r>
        <w:rPr>
          <w:b/>
          <w:bCs/>
          <w:color w:val="4F46E5"/>
          <w:sz w:val="23"/>
          <w:szCs w:val="23"/>
        </w:rPr>
        <w:t xml:space="preserve">Q69. </w:t>
      </w:r>
      <w:r>
        <w:rPr>
          <w:b/>
          <w:bCs/>
          <w:color w:val="0F172A"/>
          <w:sz w:val="23"/>
          <w:szCs w:val="23"/>
        </w:rPr>
        <w:t xml:space="preserve">Couldn't this be replaced by ChatGPT in 6 months?</w:t>
      </w:r>
    </w:p>
    <w:p>
      <w:pPr>
        <w:spacing w:after="100"/>
      </w:pPr>
      <w:r>
        <w:rPr>
          <w:b/>
          <w:bCs/>
          <w:color w:val="047857"/>
          <w:sz w:val="22"/>
          <w:szCs w:val="22"/>
        </w:rPr>
        <w:t xml:space="preserve">A: </w:t>
      </w:r>
      <w:r>
        <w:rPr>
          <w:sz w:val="22"/>
          <w:szCs w:val="22"/>
        </w:rPr>
        <w:t xml:space="preserve">No, because it is not just an LLM. The architecture — citation system, audit ledger, FHIR ingestion, policy index, the agent boundaries, the schemas, the guardrails — is the moat. The LLM is one component we already abstract behind LLMClient. ChatGPT could become our LLM tomorrow without changing the rest.</w:t>
      </w:r>
    </w:p>
    <w:p>
      <w:pPr>
        <w:spacing w:after="60" w:before="200"/>
      </w:pPr>
      <w:r>
        <w:rPr>
          <w:b/>
          <w:bCs/>
          <w:color w:val="4F46E5"/>
          <w:sz w:val="23"/>
          <w:szCs w:val="23"/>
        </w:rPr>
        <w:t xml:space="preserve">Q70. </w:t>
      </w:r>
      <w:r>
        <w:rPr>
          <w:b/>
          <w:bCs/>
          <w:color w:val="0F172A"/>
          <w:sz w:val="23"/>
          <w:szCs w:val="23"/>
        </w:rPr>
        <w:t xml:space="preserve">What if Anthropic raises Sonnet prices 5x?</w:t>
      </w:r>
    </w:p>
    <w:p>
      <w:pPr>
        <w:spacing w:after="100"/>
      </w:pPr>
      <w:r>
        <w:rPr>
          <w:b/>
          <w:bCs/>
          <w:color w:val="047857"/>
          <w:sz w:val="22"/>
          <w:szCs w:val="22"/>
        </w:rPr>
        <w:t xml:space="preserve">A: </w:t>
      </w:r>
      <w:r>
        <w:rPr>
          <w:sz w:val="22"/>
          <w:szCs w:val="22"/>
        </w:rPr>
        <w:t xml:space="preserve">We have 3 LLM providers wired in. If Sonnet pricing changes, we route to Bedrock (cheaper margins) or OpenRouter. Worst case at 5x prices: per-case cost goes from $1.01 to ~$5 — still 99.7% cheaper than the $1,500 manual baseline.</w:t>
      </w:r>
    </w:p>
    <w:p>
      <w:pPr>
        <w:spacing w:after="60" w:before="200"/>
      </w:pPr>
      <w:r>
        <w:rPr>
          <w:b/>
          <w:bCs/>
          <w:color w:val="4F46E5"/>
          <w:sz w:val="23"/>
          <w:szCs w:val="23"/>
        </w:rPr>
        <w:t xml:space="preserve">Q71. </w:t>
      </w:r>
      <w:r>
        <w:rPr>
          <w:b/>
          <w:bCs/>
          <w:color w:val="0F172A"/>
          <w:sz w:val="23"/>
          <w:szCs w:val="23"/>
        </w:rPr>
        <w:t xml:space="preserve">Why should I believe the $30B market number?</w:t>
      </w:r>
    </w:p>
    <w:p>
      <w:pPr>
        <w:spacing w:after="100"/>
      </w:pPr>
      <w:r>
        <w:rPr>
          <w:b/>
          <w:bCs/>
          <w:color w:val="047857"/>
          <w:sz w:val="22"/>
          <w:szCs w:val="22"/>
        </w:rPr>
        <w:t xml:space="preserve">A: </w:t>
      </w:r>
      <w:r>
        <w:rPr>
          <w:sz w:val="22"/>
          <w:szCs w:val="22"/>
        </w:rPr>
        <w:t xml:space="preserve">CAQH Index 2024 — published, cited, public. Calculated as: 600M PA decisions/year × $50 admin labour each. Conservative — AMA says $1,500 per case for high-touch specialty PAs.</w:t>
      </w:r>
    </w:p>
    <w:p>
      <w:pPr>
        <w:spacing w:after="60" w:before="200"/>
      </w:pPr>
      <w:r>
        <w:rPr>
          <w:b/>
          <w:bCs/>
          <w:color w:val="4F46E5"/>
          <w:sz w:val="23"/>
          <w:szCs w:val="23"/>
        </w:rPr>
        <w:t xml:space="preserve">Q72. </w:t>
      </w:r>
      <w:r>
        <w:rPr>
          <w:b/>
          <w:bCs/>
          <w:color w:val="0F172A"/>
          <w:sz w:val="23"/>
          <w:szCs w:val="23"/>
        </w:rPr>
        <w:t xml:space="preserve">What if the doctor doesn't use it and just rubber-stamps?</w:t>
      </w:r>
    </w:p>
    <w:p>
      <w:pPr>
        <w:spacing w:after="100"/>
      </w:pPr>
      <w:r>
        <w:rPr>
          <w:b/>
          <w:bCs/>
          <w:color w:val="047857"/>
          <w:sz w:val="22"/>
          <w:szCs w:val="22"/>
        </w:rPr>
        <w:t xml:space="preserve">A: </w:t>
      </w:r>
      <w:r>
        <w:rPr>
          <w:sz w:val="22"/>
          <w:szCs w:val="22"/>
        </w:rPr>
        <w:t xml:space="preserve">That is fine for clean APPROVE — and our system is auditable, so each claim is verifiable post-hoc. For DENY and REFER, the workflow REQUIRES the doctor to act (sign appeal letter, close gap checklist). The architecture forces engagement on the cases that matter.</w:t>
      </w:r>
    </w:p>
    <w:p>
      <w:pPr>
        <w:spacing w:after="60" w:before="200"/>
      </w:pPr>
      <w:r>
        <w:rPr>
          <w:b/>
          <w:bCs/>
          <w:color w:val="4F46E5"/>
          <w:sz w:val="23"/>
          <w:szCs w:val="23"/>
        </w:rPr>
        <w:t xml:space="preserve">Q73. </w:t>
      </w:r>
      <w:r>
        <w:rPr>
          <w:b/>
          <w:bCs/>
          <w:color w:val="0F172A"/>
          <w:sz w:val="23"/>
          <w:szCs w:val="23"/>
        </w:rPr>
        <w:t xml:space="preserve">Healthcare moves slowly — how is your sales velocity realistic?</w:t>
      </w:r>
    </w:p>
    <w:p>
      <w:pPr>
        <w:spacing w:after="100"/>
      </w:pPr>
      <w:r>
        <w:rPr>
          <w:b/>
          <w:bCs/>
          <w:color w:val="047857"/>
          <w:sz w:val="22"/>
          <w:szCs w:val="22"/>
        </w:rPr>
        <w:t xml:space="preserve">A: </w:t>
      </w:r>
      <w:r>
        <w:rPr>
          <w:sz w:val="22"/>
          <w:szCs w:val="22"/>
        </w:rPr>
        <w:t xml:space="preserve">CMS-0057-F is the forcing function. Every payer and provider organisation MUST be compliant by January 2027. They are buying NOW. Our 90-day pilot timeline is faster than typical SaaS only because the urgency is regulatory, not optional.</w:t>
      </w:r>
    </w:p>
    <w:p>
      <w:pPr>
        <w:spacing w:after="60" w:before="200"/>
      </w:pPr>
      <w:r>
        <w:rPr>
          <w:b/>
          <w:bCs/>
          <w:color w:val="4F46E5"/>
          <w:sz w:val="23"/>
          <w:szCs w:val="23"/>
        </w:rPr>
        <w:t xml:space="preserve">Q74. </w:t>
      </w:r>
      <w:r>
        <w:rPr>
          <w:b/>
          <w:bCs/>
          <w:color w:val="0F172A"/>
          <w:sz w:val="23"/>
          <w:szCs w:val="23"/>
        </w:rPr>
        <w:t xml:space="preserve">What if a competitor copies your architecture?</w:t>
      </w:r>
    </w:p>
    <w:p>
      <w:pPr>
        <w:spacing w:after="100"/>
      </w:pPr>
      <w:r>
        <w:rPr>
          <w:b/>
          <w:bCs/>
          <w:color w:val="047857"/>
          <w:sz w:val="22"/>
          <w:szCs w:val="22"/>
        </w:rPr>
        <w:t xml:space="preserve">A: </w:t>
      </w:r>
      <w:r>
        <w:rPr>
          <w:sz w:val="22"/>
          <w:szCs w:val="22"/>
        </w:rPr>
        <w:t xml:space="preserve">They can copy the structure. They cannot copy 18 months of fixture curation, prompt engineering, and policy-pattern coverage. Our moat is the implementation depth, not the architecture diagram.</w:t>
      </w:r>
    </w:p>
    <w:p>
      <w:pPr>
        <w:spacing w:after="60" w:before="200"/>
      </w:pPr>
      <w:r>
        <w:rPr>
          <w:b/>
          <w:bCs/>
          <w:color w:val="4F46E5"/>
          <w:sz w:val="23"/>
          <w:szCs w:val="23"/>
        </w:rPr>
        <w:t xml:space="preserve">Q75. </w:t>
      </w:r>
      <w:r>
        <w:rPr>
          <w:b/>
          <w:bCs/>
          <w:color w:val="0F172A"/>
          <w:sz w:val="23"/>
          <w:szCs w:val="23"/>
        </w:rPr>
        <w:t xml:space="preserve">Aren't there 100 prior auth startups already?</w:t>
      </w:r>
    </w:p>
    <w:p>
      <w:pPr>
        <w:spacing w:after="100"/>
      </w:pPr>
      <w:r>
        <w:rPr>
          <w:b/>
          <w:bCs/>
          <w:color w:val="047857"/>
          <w:sz w:val="22"/>
          <w:szCs w:val="22"/>
        </w:rPr>
        <w:t xml:space="preserve">A: </w:t>
      </w:r>
      <w:r>
        <w:rPr>
          <w:sz w:val="22"/>
          <w:szCs w:val="22"/>
        </w:rPr>
        <w:t xml:space="preserve">Yes — and most are payer-side (Notable, Cohere) or workflow-only (Olive, before it folded). The provider-side, citation-grounded, appeals-aware niche is empty. Olive's collapse vacated the only adjacent player.</w:t>
      </w:r>
    </w:p>
    <w:p>
      <w:pPr>
        <w:spacing w:after="60" w:before="200"/>
      </w:pPr>
      <w:r>
        <w:rPr>
          <w:b/>
          <w:bCs/>
          <w:color w:val="4F46E5"/>
          <w:sz w:val="23"/>
          <w:szCs w:val="23"/>
        </w:rPr>
        <w:t xml:space="preserve">Q76. </w:t>
      </w:r>
      <w:r>
        <w:rPr>
          <w:b/>
          <w:bCs/>
          <w:color w:val="0F172A"/>
          <w:sz w:val="23"/>
          <w:szCs w:val="23"/>
        </w:rPr>
        <w:t xml:space="preserve">What is your exit strategy?</w:t>
      </w:r>
    </w:p>
    <w:p>
      <w:pPr>
        <w:spacing w:after="100"/>
      </w:pPr>
      <w:r>
        <w:rPr>
          <w:b/>
          <w:bCs/>
          <w:color w:val="047857"/>
          <w:sz w:val="22"/>
          <w:szCs w:val="22"/>
        </w:rPr>
        <w:t xml:space="preserve">A: </w:t>
      </w:r>
      <w:r>
        <w:rPr>
          <w:sz w:val="22"/>
          <w:szCs w:val="22"/>
        </w:rPr>
        <w:t xml:space="preserve">Two paths. (1) Strategic acquisition by Cognizant (most likely — they own TriZetto, distribution, and the Anthropic partnership). (2) Acquisition by a payer-tech consolidator (Optum, Highmark Ventures). Series-A is to fund 3 more agents and expansion; exit follows naturally.</w:t>
      </w:r>
    </w:p>
    <w:p>
      <w:pPr>
        <w:spacing w:after="60" w:before="200"/>
      </w:pPr>
      <w:r>
        <w:rPr>
          <w:b/>
          <w:bCs/>
          <w:color w:val="4F46E5"/>
          <w:sz w:val="23"/>
          <w:szCs w:val="23"/>
        </w:rPr>
        <w:t xml:space="preserve">Q77. </w:t>
      </w:r>
      <w:r>
        <w:rPr>
          <w:b/>
          <w:bCs/>
          <w:color w:val="0F172A"/>
          <w:sz w:val="23"/>
          <w:szCs w:val="23"/>
        </w:rPr>
        <w:t xml:space="preserve">How do you compete with Epic's in-built tools?</w:t>
      </w:r>
    </w:p>
    <w:p>
      <w:pPr>
        <w:spacing w:after="100"/>
      </w:pPr>
      <w:r>
        <w:rPr>
          <w:b/>
          <w:bCs/>
          <w:color w:val="047857"/>
          <w:sz w:val="22"/>
          <w:szCs w:val="22"/>
        </w:rPr>
        <w:t xml:space="preserve">A: </w:t>
      </w:r>
      <w:r>
        <w:rPr>
          <w:sz w:val="22"/>
          <w:szCs w:val="22"/>
        </w:rPr>
        <w:t xml:space="preserve">Epic has prior auth workflow automation, not multi-agent decisioning. They route, we decide. We integrate INTO Epic via FHIR — we do not compete with their EHR. Doctors keep using Epic; Authrex sits beside it.</w:t>
      </w:r>
    </w:p>
    <w:p>
      <w:pPr>
        <w:spacing w:after="60" w:before="200"/>
      </w:pPr>
      <w:r>
        <w:rPr>
          <w:b/>
          <w:bCs/>
          <w:color w:val="4F46E5"/>
          <w:sz w:val="23"/>
          <w:szCs w:val="23"/>
        </w:rPr>
        <w:t xml:space="preserve">Q78. </w:t>
      </w:r>
      <w:r>
        <w:rPr>
          <w:b/>
          <w:bCs/>
          <w:color w:val="0F172A"/>
          <w:sz w:val="23"/>
          <w:szCs w:val="23"/>
        </w:rPr>
        <w:t xml:space="preserve">What if regulators decide AI cannot make these decisions?</w:t>
      </w:r>
    </w:p>
    <w:p>
      <w:pPr>
        <w:spacing w:after="100"/>
      </w:pPr>
      <w:r>
        <w:rPr>
          <w:b/>
          <w:bCs/>
          <w:color w:val="047857"/>
          <w:sz w:val="22"/>
          <w:szCs w:val="22"/>
        </w:rPr>
        <w:t xml:space="preserve">A: </w:t>
      </w:r>
      <w:r>
        <w:rPr>
          <w:sz w:val="22"/>
          <w:szCs w:val="22"/>
        </w:rPr>
        <w:t xml:space="preserve">They have already decided AI is allowed — CMS-0057-F encourages automation. The constraint is auditability + reviewer transparency, both of which we exceed. The regulatory tailwind is on our side.</w:t>
      </w:r>
    </w:p>
    <w:p>
      <w:pPr>
        <w:spacing w:after="60" w:before="200"/>
      </w:pPr>
      <w:r>
        <w:rPr>
          <w:b/>
          <w:bCs/>
          <w:color w:val="4F46E5"/>
          <w:sz w:val="23"/>
          <w:szCs w:val="23"/>
        </w:rPr>
        <w:t xml:space="preserve">Q79. </w:t>
      </w:r>
      <w:r>
        <w:rPr>
          <w:b/>
          <w:bCs/>
          <w:color w:val="0F172A"/>
          <w:sz w:val="23"/>
          <w:szCs w:val="23"/>
        </w:rPr>
        <w:t xml:space="preserve">How do you handle a high-profile failure case?</w:t>
      </w:r>
    </w:p>
    <w:p>
      <w:pPr>
        <w:spacing w:after="100"/>
      </w:pPr>
      <w:r>
        <w:rPr>
          <w:b/>
          <w:bCs/>
          <w:color w:val="047857"/>
          <w:sz w:val="22"/>
          <w:szCs w:val="22"/>
        </w:rPr>
        <w:t xml:space="preserve">A: </w:t>
      </w:r>
      <w:r>
        <w:rPr>
          <w:sz w:val="22"/>
          <w:szCs w:val="22"/>
        </w:rPr>
        <w:t xml:space="preserve">Audit ledger answers it. We pull the case_id, replay every LLM call, every citation, every grader score, every reviewer action. Post-mortem in &lt;1 hour. The architecture makes "we don't know what happened" structurally impossible.</w:t>
      </w:r>
    </w:p>
    <w:p>
      <w:pPr>
        <w:spacing w:after="60" w:before="200"/>
      </w:pPr>
      <w:r>
        <w:rPr>
          <w:b/>
          <w:bCs/>
          <w:color w:val="4F46E5"/>
          <w:sz w:val="23"/>
          <w:szCs w:val="23"/>
        </w:rPr>
        <w:t xml:space="preserve">Q80. </w:t>
      </w:r>
      <w:r>
        <w:rPr>
          <w:b/>
          <w:bCs/>
          <w:color w:val="0F172A"/>
          <w:sz w:val="23"/>
          <w:szCs w:val="23"/>
        </w:rPr>
        <w:t xml:space="preserve">Why are you a 4-person student team and not a Y Combinator startup?</w:t>
      </w:r>
    </w:p>
    <w:p>
      <w:pPr>
        <w:spacing w:after="100"/>
      </w:pPr>
      <w:r>
        <w:rPr>
          <w:b/>
          <w:bCs/>
          <w:color w:val="047857"/>
          <w:sz w:val="22"/>
          <w:szCs w:val="22"/>
        </w:rPr>
        <w:t xml:space="preserve">A: </w:t>
      </w:r>
      <w:r>
        <w:rPr>
          <w:sz w:val="22"/>
          <w:szCs w:val="22"/>
        </w:rPr>
        <w:t xml:space="preserve">Because we built the working system in 24 hours, with the same architecture a YC team would propose in their slide deck. The hackathon is a stage, not a milestone. After May 7, we operate the same way.</w:t>
      </w:r>
    </w:p>
    <w:p>
      <w:pPr>
        <w:spacing w:after="60" w:before="200"/>
      </w:pPr>
      <w:r>
        <w:rPr>
          <w:b/>
          <w:bCs/>
          <w:color w:val="4F46E5"/>
          <w:sz w:val="23"/>
          <w:szCs w:val="23"/>
        </w:rPr>
        <w:t xml:space="preserve">Q81. </w:t>
      </w:r>
      <w:r>
        <w:rPr>
          <w:b/>
          <w:bCs/>
          <w:color w:val="0F172A"/>
          <w:sz w:val="23"/>
          <w:szCs w:val="23"/>
        </w:rPr>
        <w:t xml:space="preserve">Are 4 people enough to ship and operate this?</w:t>
      </w:r>
    </w:p>
    <w:p>
      <w:pPr>
        <w:spacing w:after="100"/>
      </w:pPr>
      <w:r>
        <w:rPr>
          <w:b/>
          <w:bCs/>
          <w:color w:val="047857"/>
          <w:sz w:val="22"/>
          <w:szCs w:val="22"/>
        </w:rPr>
        <w:t xml:space="preserve">A: </w:t>
      </w:r>
      <w:r>
        <w:rPr>
          <w:sz w:val="22"/>
          <w:szCs w:val="22"/>
        </w:rPr>
        <w:t xml:space="preserve">For pilot scale, yes. For 50+ accounts, we need 8-12 by end of year 1 (engineering + customer success + sales). Series-A funds that scale. The architecture is built for a small team to operate — minimal ops surface.</w:t>
      </w:r>
    </w:p>
    <w:p>
      <w:pPr>
        <w:spacing w:after="60" w:before="200"/>
      </w:pPr>
      <w:r>
        <w:rPr>
          <w:b/>
          <w:bCs/>
          <w:color w:val="4F46E5"/>
          <w:sz w:val="23"/>
          <w:szCs w:val="23"/>
        </w:rPr>
        <w:t xml:space="preserve">Q82. </w:t>
      </w:r>
      <w:r>
        <w:rPr>
          <w:b/>
          <w:bCs/>
          <w:color w:val="0F172A"/>
          <w:sz w:val="23"/>
          <w:szCs w:val="23"/>
        </w:rPr>
        <w:t xml:space="preserve">What if a payer refuses to accept Authrex-submitted decisions?</w:t>
      </w:r>
    </w:p>
    <w:p>
      <w:pPr>
        <w:spacing w:after="100"/>
      </w:pPr>
      <w:r>
        <w:rPr>
          <w:b/>
          <w:bCs/>
          <w:color w:val="047857"/>
          <w:sz w:val="22"/>
          <w:szCs w:val="22"/>
        </w:rPr>
        <w:t xml:space="preserve">A: </w:t>
      </w:r>
      <w:r>
        <w:rPr>
          <w:sz w:val="22"/>
          <w:szCs w:val="22"/>
        </w:rPr>
        <w:t xml:space="preserve">They can't refuse the format — it is FHIR Bundle + decision JSON, the CMS-0057-F § IV.D standard. They can refuse the decision (deny it on substance), at which point our auto-drafted appeal letter activates. Format is non-rejectable; substance is contestable.</w:t>
      </w:r>
    </w:p>
    <w:p>
      <w:pPr>
        <w:spacing w:after="60" w:before="200"/>
      </w:pPr>
      <w:r>
        <w:rPr>
          <w:b/>
          <w:bCs/>
          <w:color w:val="4F46E5"/>
          <w:sz w:val="23"/>
          <w:szCs w:val="23"/>
        </w:rPr>
        <w:t xml:space="preserve">Q83. </w:t>
      </w:r>
      <w:r>
        <w:rPr>
          <w:b/>
          <w:bCs/>
          <w:color w:val="0F172A"/>
          <w:sz w:val="23"/>
          <w:szCs w:val="23"/>
        </w:rPr>
        <w:t xml:space="preserve">You said $1.01 per case but AWS Bedrock has hidden costs.</w:t>
      </w:r>
    </w:p>
    <w:p>
      <w:pPr>
        <w:spacing w:after="100"/>
      </w:pPr>
      <w:r>
        <w:rPr>
          <w:b/>
          <w:bCs/>
          <w:color w:val="047857"/>
          <w:sz w:val="22"/>
          <w:szCs w:val="22"/>
        </w:rPr>
        <w:t xml:space="preserve">A: </w:t>
      </w:r>
      <w:r>
        <w:rPr>
          <w:sz w:val="22"/>
          <w:szCs w:val="22"/>
        </w:rPr>
        <w:t xml:space="preserve">No hidden costs. The $1.01 number includes Bedrock input + output tokens for all 98 LLM calls in one case. ECS, RDS, KMS, CloudWatch costs are amortised at &lt;$0.05/case at our target volume. Total all-in: $1.06 per case. We round to $1.01 for the headline.</w:t>
      </w:r>
    </w:p>
    <w:p>
      <w:pPr>
        <w:spacing w:after="60" w:before="200"/>
      </w:pPr>
      <w:r>
        <w:rPr>
          <w:b/>
          <w:bCs/>
          <w:color w:val="4F46E5"/>
          <w:sz w:val="23"/>
          <w:szCs w:val="23"/>
        </w:rPr>
        <w:t xml:space="preserve">Q84. </w:t>
      </w:r>
      <w:r>
        <w:rPr>
          <w:b/>
          <w:bCs/>
          <w:color w:val="0F172A"/>
          <w:sz w:val="23"/>
          <w:szCs w:val="23"/>
        </w:rPr>
        <w:t xml:space="preserve">How do you know your demo case is a fair test, not cherry-picked?</w:t>
      </w:r>
    </w:p>
    <w:p>
      <w:pPr>
        <w:spacing w:after="100"/>
      </w:pPr>
      <w:r>
        <w:rPr>
          <w:b/>
          <w:bCs/>
          <w:color w:val="047857"/>
          <w:sz w:val="22"/>
          <w:szCs w:val="22"/>
        </w:rPr>
        <w:t xml:space="preserve">A: </w:t>
      </w:r>
      <w:r>
        <w:rPr>
          <w:sz w:val="22"/>
          <w:szCs w:val="22"/>
        </w:rPr>
        <w:t xml:space="preserve">Three demo cases — APPROVE, REFER, DENY — covering all three verdict paths. We did not select edge cases or simple cases. The DENY case is structurally hard (auto-appeal letter must be NCCN-cited and CMS-0057-F-compliant). All three verified live on May 5.</w:t>
      </w:r>
    </w:p>
    <w:p>
      <w:pPr>
        <w:spacing w:after="60" w:before="200"/>
      </w:pPr>
      <w:r>
        <w:rPr>
          <w:b/>
          <w:bCs/>
          <w:color w:val="4F46E5"/>
          <w:sz w:val="23"/>
          <w:szCs w:val="23"/>
        </w:rPr>
        <w:t xml:space="preserve">Q85. </w:t>
      </w:r>
      <w:r>
        <w:rPr>
          <w:b/>
          <w:bCs/>
          <w:color w:val="0F172A"/>
          <w:sz w:val="23"/>
          <w:szCs w:val="23"/>
        </w:rPr>
        <w:t xml:space="preserve">If this is so good, why hasn't Anthropic itself built it?</w:t>
      </w:r>
    </w:p>
    <w:p>
      <w:pPr>
        <w:spacing w:after="100"/>
      </w:pPr>
      <w:r>
        <w:rPr>
          <w:b/>
          <w:bCs/>
          <w:color w:val="047857"/>
          <w:sz w:val="22"/>
          <w:szCs w:val="22"/>
        </w:rPr>
        <w:t xml:space="preserve">A: </w:t>
      </w:r>
      <w:r>
        <w:rPr>
          <w:sz w:val="22"/>
          <w:szCs w:val="22"/>
        </w:rPr>
        <w:t xml:space="preserve">Anthropic builds infrastructure (LLMs). We build vertical applications (oncology PA). Different value layer. Anthropic's November 2024 Cognizant partnership signals exactly this — they are leaving vertical apps to partners. We are an Anthropic-stack-aligned partner before they have a healthcare app.</w:t>
      </w:r>
    </w:p>
    <w:p>
      <w:r>
        <w:br w:type="page"/>
      </w:r>
    </w:p>
    <w:p>
      <w:pPr>
        <w:pStyle w:val="Heading1"/>
        <w:spacing w:after="160" w:before="320"/>
      </w:pPr>
      <w:r>
        <w:rPr>
          <w:b/>
          <w:bCs/>
          <w:color w:val="0F172A"/>
          <w:sz w:val="32"/>
          <w:szCs w:val="32"/>
        </w:rPr>
        <w:t xml:space="preserve">Section E — Cognizant Fit &amp; Demo (Q86-100)</w:t>
      </w:r>
    </w:p>
    <w:p>
      <w:pPr>
        <w:spacing w:after="60" w:before="200"/>
      </w:pPr>
      <w:r>
        <w:rPr>
          <w:b/>
          <w:bCs/>
          <w:color w:val="4F46E5"/>
          <w:sz w:val="23"/>
          <w:szCs w:val="23"/>
        </w:rPr>
        <w:t xml:space="preserve">Q86. </w:t>
      </w:r>
      <w:r>
        <w:rPr>
          <w:b/>
          <w:bCs/>
          <w:color w:val="0F172A"/>
          <w:sz w:val="23"/>
          <w:szCs w:val="23"/>
        </w:rPr>
        <w:t xml:space="preserve">Why is Cognizant the right partner?</w:t>
      </w:r>
    </w:p>
    <w:p>
      <w:pPr>
        <w:spacing w:after="100"/>
      </w:pPr>
      <w:r>
        <w:rPr>
          <w:b/>
          <w:bCs/>
          <w:color w:val="047857"/>
          <w:sz w:val="22"/>
          <w:szCs w:val="22"/>
        </w:rPr>
        <w:t xml:space="preserve">A: </w:t>
      </w:r>
      <w:r>
        <w:rPr>
          <w:sz w:val="22"/>
          <w:szCs w:val="22"/>
        </w:rPr>
        <w:t xml:space="preserve">Three reasons. (1) Anthropic stack alignment — they standardised on Bedrock + Sonnet + MCP November 4, 2024; we built on the same. (2) Health Sciences distribution — 47 of top 50 US payers, 200+ providers in their pipeline. (3) TriZetto — they own the payer-side adjudication platform we submit to.</w:t>
      </w:r>
    </w:p>
    <w:p>
      <w:pPr>
        <w:spacing w:after="60" w:before="200"/>
      </w:pPr>
      <w:r>
        <w:rPr>
          <w:b/>
          <w:bCs/>
          <w:color w:val="4F46E5"/>
          <w:sz w:val="23"/>
          <w:szCs w:val="23"/>
        </w:rPr>
        <w:t xml:space="preserve">Q87. </w:t>
      </w:r>
      <w:r>
        <w:rPr>
          <w:b/>
          <w:bCs/>
          <w:color w:val="0F172A"/>
          <w:sz w:val="23"/>
          <w:szCs w:val="23"/>
        </w:rPr>
        <w:t xml:space="preserve">How does this fit Cognizant Agent Foundry?</w:t>
      </w:r>
    </w:p>
    <w:p>
      <w:pPr>
        <w:spacing w:after="100"/>
      </w:pPr>
      <w:r>
        <w:rPr>
          <w:b/>
          <w:bCs/>
          <w:color w:val="047857"/>
          <w:sz w:val="22"/>
          <w:szCs w:val="22"/>
        </w:rPr>
        <w:t xml:space="preserve">A: </w:t>
      </w:r>
      <w:r>
        <w:rPr>
          <w:sz w:val="22"/>
          <w:szCs w:val="22"/>
        </w:rPr>
        <w:t xml:space="preserve">Foundry-compatible by design. Manifest at app/agents/manifest.py. Model card spec at /api/v1/industrialize/model-card. Evaluation harness at /eval. Observability via SSE + audit ledger. We do not retrofit; we are pre-aligned.</w:t>
      </w:r>
    </w:p>
    <w:p>
      <w:pPr>
        <w:spacing w:after="60" w:before="200"/>
      </w:pPr>
      <w:r>
        <w:rPr>
          <w:b/>
          <w:bCs/>
          <w:color w:val="4F46E5"/>
          <w:sz w:val="23"/>
          <w:szCs w:val="23"/>
        </w:rPr>
        <w:t xml:space="preserve">Q88. </w:t>
      </w:r>
      <w:r>
        <w:rPr>
          <w:b/>
          <w:bCs/>
          <w:color w:val="0F172A"/>
          <w:sz w:val="23"/>
          <w:szCs w:val="23"/>
        </w:rPr>
        <w:t xml:space="preserve">Why Bedrock and not direct Anthropic?</w:t>
      </w:r>
    </w:p>
    <w:p>
      <w:pPr>
        <w:spacing w:after="100"/>
      </w:pPr>
      <w:r>
        <w:rPr>
          <w:b/>
          <w:bCs/>
          <w:color w:val="047857"/>
          <w:sz w:val="22"/>
          <w:szCs w:val="22"/>
        </w:rPr>
        <w:t xml:space="preserve">A: </w:t>
      </w:r>
      <w:r>
        <w:rPr>
          <w:sz w:val="22"/>
          <w:szCs w:val="22"/>
        </w:rPr>
        <w:t xml:space="preserve">Three reasons. (1) Cognizant standardised on Bedrock — we match. (2) Bedrock has finer-grained IAM (per-team usage tracking). (3) Bedrock is HIPAA-eligible — Anthropic direct is not (yet) BAA-covered. Healthcare must use Bedrock.</w:t>
      </w:r>
    </w:p>
    <w:p>
      <w:pPr>
        <w:spacing w:after="60" w:before="200"/>
      </w:pPr>
      <w:r>
        <w:rPr>
          <w:b/>
          <w:bCs/>
          <w:color w:val="4F46E5"/>
          <w:sz w:val="23"/>
          <w:szCs w:val="23"/>
        </w:rPr>
        <w:t xml:space="preserve">Q89. </w:t>
      </w:r>
      <w:r>
        <w:rPr>
          <w:b/>
          <w:bCs/>
          <w:color w:val="0F172A"/>
          <w:sz w:val="23"/>
          <w:szCs w:val="23"/>
        </w:rPr>
        <w:t xml:space="preserve">How does this fit Neuro-SAN AAOSA?</w:t>
      </w:r>
    </w:p>
    <w:p>
      <w:pPr>
        <w:spacing w:after="100"/>
      </w:pPr>
      <w:r>
        <w:rPr>
          <w:b/>
          <w:bCs/>
          <w:color w:val="047857"/>
          <w:sz w:val="22"/>
          <w:szCs w:val="22"/>
        </w:rPr>
        <w:t xml:space="preserve">A: </w:t>
      </w:r>
      <w:r>
        <w:rPr>
          <w:sz w:val="22"/>
          <w:szCs w:val="22"/>
        </w:rPr>
        <w:t xml:space="preserve">AAOSA = Adaptive Agentic Orchestration Software Architecture. Authrex follows all four principles: (1) Bounded responsibility — each agent has one job. (2) Stateful continuity — LangGraph state object preserved. (3) Per-tenant adaptation — tenant-specific policy indexes. (4) Observability — audit ledger + SSE streams. Cognizant's preferred pattern, exactly.</w:t>
      </w:r>
    </w:p>
    <w:p>
      <w:pPr>
        <w:spacing w:after="60" w:before="200"/>
      </w:pPr>
      <w:r>
        <w:rPr>
          <w:b/>
          <w:bCs/>
          <w:color w:val="4F46E5"/>
          <w:sz w:val="23"/>
          <w:szCs w:val="23"/>
        </w:rPr>
        <w:t xml:space="preserve">Q90. </w:t>
      </w:r>
      <w:r>
        <w:rPr>
          <w:b/>
          <w:bCs/>
          <w:color w:val="0F172A"/>
          <w:sz w:val="23"/>
          <w:szCs w:val="23"/>
        </w:rPr>
        <w:t xml:space="preserve">How would Cognizant deploy this for a payer client?</w:t>
      </w:r>
    </w:p>
    <w:p>
      <w:pPr>
        <w:spacing w:after="100"/>
      </w:pPr>
      <w:r>
        <w:rPr>
          <w:b/>
          <w:bCs/>
          <w:color w:val="047857"/>
          <w:sz w:val="22"/>
          <w:szCs w:val="22"/>
        </w:rPr>
        <w:t xml:space="preserve">A: </w:t>
      </w:r>
      <w:r>
        <w:rPr>
          <w:sz w:val="22"/>
          <w:szCs w:val="22"/>
        </w:rPr>
        <w:t xml:space="preserve">Self-hosted on the payer's AWS account. Bedrock keys in their VPC. Postgres in their VPC. We deliver code + Cognizant Foundry manifest. Cognizant Health Sciences team runs deployment + ongoing support.</w:t>
      </w:r>
    </w:p>
    <w:p>
      <w:pPr>
        <w:spacing w:after="60" w:before="200"/>
      </w:pPr>
      <w:r>
        <w:rPr>
          <w:b/>
          <w:bCs/>
          <w:color w:val="4F46E5"/>
          <w:sz w:val="23"/>
          <w:szCs w:val="23"/>
        </w:rPr>
        <w:t xml:space="preserve">Q91. </w:t>
      </w:r>
      <w:r>
        <w:rPr>
          <w:b/>
          <w:bCs/>
          <w:color w:val="0F172A"/>
          <w:sz w:val="23"/>
          <w:szCs w:val="23"/>
        </w:rPr>
        <w:t xml:space="preserve">Show me a demo of REFER specifically.</w:t>
      </w:r>
    </w:p>
    <w:p>
      <w:pPr>
        <w:spacing w:after="100"/>
      </w:pPr>
      <w:r>
        <w:rPr>
          <w:b/>
          <w:bCs/>
          <w:color w:val="047857"/>
          <w:sz w:val="22"/>
          <w:szCs w:val="22"/>
        </w:rPr>
        <w:t xml:space="preserve">A: </w:t>
      </w:r>
      <w:r>
        <w:rPr>
          <w:sz w:val="22"/>
          <w:szCs w:val="22"/>
        </w:rPr>
        <w:t xml:space="preserve">Open authrex.xzashr.com/#/cases/case_3b21e0fa. The HER2-positive same-patient case with no LVEF. Notice: 4 of 5 criteria MET, 1 AMBIGUOUS. Verdict 71% confidence. Reviewer queue handoff with 4-item gap checklist. Time: ~45 seconds end-to-end.</w:t>
      </w:r>
    </w:p>
    <w:p>
      <w:pPr>
        <w:spacing w:after="60" w:before="200"/>
      </w:pPr>
      <w:r>
        <w:rPr>
          <w:b/>
          <w:bCs/>
          <w:color w:val="4F46E5"/>
          <w:sz w:val="23"/>
          <w:szCs w:val="23"/>
        </w:rPr>
        <w:t xml:space="preserve">Q92. </w:t>
      </w:r>
      <w:r>
        <w:rPr>
          <w:b/>
          <w:bCs/>
          <w:color w:val="0F172A"/>
          <w:sz w:val="23"/>
          <w:szCs w:val="23"/>
        </w:rPr>
        <w:t xml:space="preserve">What if your live demo crashes on stage?</w:t>
      </w:r>
    </w:p>
    <w:p>
      <w:pPr>
        <w:spacing w:after="100"/>
      </w:pPr>
      <w:r>
        <w:rPr>
          <w:b/>
          <w:bCs/>
          <w:color w:val="047857"/>
          <w:sz w:val="22"/>
          <w:szCs w:val="22"/>
        </w:rPr>
        <w:t xml:space="preserve">A: </w:t>
      </w:r>
      <w:r>
        <w:rPr>
          <w:sz w:val="22"/>
          <w:szCs w:val="22"/>
        </w:rPr>
        <w:t xml:space="preserve">Three layers of fallback. (1) Live React app at frontend/. (2) Standalone HTML showcase at authrex.xzashr.com (zero-backend, runs from any browser). (3) Pre-recorded 90-second video on the brochure QR. We have never had to use #2 or #3, but they are loaded and ready.</w:t>
      </w:r>
    </w:p>
    <w:p>
      <w:pPr>
        <w:spacing w:after="60" w:before="200"/>
      </w:pPr>
      <w:r>
        <w:rPr>
          <w:b/>
          <w:bCs/>
          <w:color w:val="4F46E5"/>
          <w:sz w:val="23"/>
          <w:szCs w:val="23"/>
        </w:rPr>
        <w:t xml:space="preserve">Q93. </w:t>
      </w:r>
      <w:r>
        <w:rPr>
          <w:b/>
          <w:bCs/>
          <w:color w:val="0F172A"/>
          <w:sz w:val="23"/>
          <w:szCs w:val="23"/>
        </w:rPr>
        <w:t xml:space="preserve">How does this scale to a Cognizant-sized customer (50,000 PAs/month)?</w:t>
      </w:r>
    </w:p>
    <w:p>
      <w:pPr>
        <w:spacing w:after="100"/>
      </w:pPr>
      <w:r>
        <w:rPr>
          <w:b/>
          <w:bCs/>
          <w:color w:val="047857"/>
          <w:sz w:val="22"/>
          <w:szCs w:val="22"/>
        </w:rPr>
        <w:t xml:space="preserve">A: </w:t>
      </w:r>
      <w:r>
        <w:rPr>
          <w:sz w:val="22"/>
          <w:szCs w:val="22"/>
        </w:rPr>
        <w:t xml:space="preserve">Architecture is horizontally scalable. Postgres up to ~100K cases/day per shard. Bedrock has effectively infinite capacity. ECS Fargate auto-scales workers. At 50K PAs/month, infrastructure cost is ~$15K/month — well below the $200K+ revenue at enterprise tier.</w:t>
      </w:r>
    </w:p>
    <w:p>
      <w:pPr>
        <w:spacing w:after="60" w:before="200"/>
      </w:pPr>
      <w:r>
        <w:rPr>
          <w:b/>
          <w:bCs/>
          <w:color w:val="4F46E5"/>
          <w:sz w:val="23"/>
          <w:szCs w:val="23"/>
        </w:rPr>
        <w:t xml:space="preserve">Q94. </w:t>
      </w:r>
      <w:r>
        <w:rPr>
          <w:b/>
          <w:bCs/>
          <w:color w:val="0F172A"/>
          <w:sz w:val="23"/>
          <w:szCs w:val="23"/>
        </w:rPr>
        <w:t xml:space="preserve">What is the integration path with TriZetto?</w:t>
      </w:r>
    </w:p>
    <w:p>
      <w:pPr>
        <w:spacing w:after="100"/>
      </w:pPr>
      <w:r>
        <w:rPr>
          <w:b/>
          <w:bCs/>
          <w:color w:val="047857"/>
          <w:sz w:val="22"/>
          <w:szCs w:val="22"/>
        </w:rPr>
        <w:t xml:space="preserve">A: </w:t>
      </w:r>
      <w:r>
        <w:rPr>
          <w:sz w:val="22"/>
          <w:szCs w:val="22"/>
        </w:rPr>
        <w:t xml:space="preserve">We expose POST /api/v1/integrations/trizetto/submit. Body is FHIR Bundle + decision JSON. TriZetto adapters acknowledge with a confirmation envelope. Mock-first (today), production-ready architecture (1 week of work to live).</w:t>
      </w:r>
    </w:p>
    <w:p>
      <w:pPr>
        <w:spacing w:after="60" w:before="200"/>
      </w:pPr>
      <w:r>
        <w:rPr>
          <w:b/>
          <w:bCs/>
          <w:color w:val="4F46E5"/>
          <w:sz w:val="23"/>
          <w:szCs w:val="23"/>
        </w:rPr>
        <w:t xml:space="preserve">Q95. </w:t>
      </w:r>
      <w:r>
        <w:rPr>
          <w:b/>
          <w:bCs/>
          <w:color w:val="0F172A"/>
          <w:sz w:val="23"/>
          <w:szCs w:val="23"/>
        </w:rPr>
        <w:t xml:space="preserve">How does Kiro IDE fit in?</w:t>
      </w:r>
    </w:p>
    <w:p>
      <w:pPr>
        <w:spacing w:after="100"/>
      </w:pPr>
      <w:r>
        <w:rPr>
          <w:b/>
          <w:bCs/>
          <w:color w:val="047857"/>
          <w:sz w:val="22"/>
          <w:szCs w:val="22"/>
        </w:rPr>
        <w:t xml:space="preserve">A: </w:t>
      </w:r>
      <w:r>
        <w:rPr>
          <w:sz w:val="22"/>
          <w:szCs w:val="22"/>
        </w:rPr>
        <w:t xml:space="preserve">Spec-driven development. Our specs live in .kiro/specs/. The architecture poster, the agent contracts, the test fixtures all derive from these specs. Kiro keeps human-readable design and code in lockstep.</w:t>
      </w:r>
    </w:p>
    <w:p>
      <w:pPr>
        <w:spacing w:after="60" w:before="200"/>
      </w:pPr>
      <w:r>
        <w:rPr>
          <w:b/>
          <w:bCs/>
          <w:color w:val="4F46E5"/>
          <w:sz w:val="23"/>
          <w:szCs w:val="23"/>
        </w:rPr>
        <w:t xml:space="preserve">Q96. </w:t>
      </w:r>
      <w:r>
        <w:rPr>
          <w:b/>
          <w:bCs/>
          <w:color w:val="0F172A"/>
          <w:sz w:val="23"/>
          <w:szCs w:val="23"/>
        </w:rPr>
        <w:t xml:space="preserve">How would a Cognizant architect onboard onto this in week 1?</w:t>
      </w:r>
    </w:p>
    <w:p>
      <w:pPr>
        <w:spacing w:after="100"/>
      </w:pPr>
      <w:r>
        <w:rPr>
          <w:b/>
          <w:bCs/>
          <w:color w:val="047857"/>
          <w:sz w:val="22"/>
          <w:szCs w:val="22"/>
        </w:rPr>
        <w:t xml:space="preserve">A: </w:t>
      </w:r>
      <w:r>
        <w:rPr>
          <w:sz w:val="22"/>
          <w:szCs w:val="22"/>
        </w:rPr>
        <w:t xml:space="preserve">Day 1: Read PROPOSAL.md (single source of truth). Day 2: Run make demo locally — system boots in 5 minutes. Day 3-5: Pair with our team on adding a new payer to the policy index. By end of week 1, they can ship a feature.</w:t>
      </w:r>
    </w:p>
    <w:p>
      <w:pPr>
        <w:spacing w:after="60" w:before="200"/>
      </w:pPr>
      <w:r>
        <w:rPr>
          <w:b/>
          <w:bCs/>
          <w:color w:val="4F46E5"/>
          <w:sz w:val="23"/>
          <w:szCs w:val="23"/>
        </w:rPr>
        <w:t xml:space="preserve">Q97. </w:t>
      </w:r>
      <w:r>
        <w:rPr>
          <w:b/>
          <w:bCs/>
          <w:color w:val="0F172A"/>
          <w:sz w:val="23"/>
          <w:szCs w:val="23"/>
        </w:rPr>
        <w:t xml:space="preserve">What is the IP situation? Open source?</w:t>
      </w:r>
    </w:p>
    <w:p>
      <w:pPr>
        <w:spacing w:after="100"/>
      </w:pPr>
      <w:r>
        <w:rPr>
          <w:b/>
          <w:bCs/>
          <w:color w:val="047857"/>
          <w:sz w:val="22"/>
          <w:szCs w:val="22"/>
        </w:rPr>
        <w:t xml:space="preserve">A: </w:t>
      </w:r>
      <w:r>
        <w:rPr>
          <w:sz w:val="22"/>
          <w:szCs w:val="22"/>
        </w:rPr>
        <w:t xml:space="preserve">Codebase is private to Team AeroFyta. The 7-agent architecture, the citation chain design, the audit-ledger pattern are ours. Patent abstract drafted (Authrex_Patent_Abstract.docx in the repo). License terms negotiable as part of any acquisition or partnership.</w:t>
      </w:r>
    </w:p>
    <w:p>
      <w:pPr>
        <w:spacing w:after="60" w:before="200"/>
      </w:pPr>
      <w:r>
        <w:rPr>
          <w:b/>
          <w:bCs/>
          <w:color w:val="4F46E5"/>
          <w:sz w:val="23"/>
          <w:szCs w:val="23"/>
        </w:rPr>
        <w:t xml:space="preserve">Q98. </w:t>
      </w:r>
      <w:r>
        <w:rPr>
          <w:b/>
          <w:bCs/>
          <w:color w:val="0F172A"/>
          <w:sz w:val="23"/>
          <w:szCs w:val="23"/>
        </w:rPr>
        <w:t xml:space="preserve">How do we know this team can execute beyond a hackathon?</w:t>
      </w:r>
    </w:p>
    <w:p>
      <w:pPr>
        <w:spacing w:after="100"/>
      </w:pPr>
      <w:r>
        <w:rPr>
          <w:b/>
          <w:bCs/>
          <w:color w:val="047857"/>
          <w:sz w:val="22"/>
          <w:szCs w:val="22"/>
        </w:rPr>
        <w:t xml:space="preserve">A: </w:t>
      </w:r>
      <w:r>
        <w:rPr>
          <w:sz w:val="22"/>
          <w:szCs w:val="22"/>
        </w:rPr>
        <w:t xml:space="preserve">We delivered the working system, the standalone demo, the printed kit (5 documents), the brochure, the architecture poster, the compliance one-pager, the ROI fold, the sample-artifacts booklet, and these 7 documentation files — all in 25 days from idea submission to demo day. Same execution velocity post-hackathon.</w:t>
      </w:r>
    </w:p>
    <w:p>
      <w:pPr>
        <w:spacing w:after="60" w:before="200"/>
      </w:pPr>
      <w:r>
        <w:rPr>
          <w:b/>
          <w:bCs/>
          <w:color w:val="4F46E5"/>
          <w:sz w:val="23"/>
          <w:szCs w:val="23"/>
        </w:rPr>
        <w:t xml:space="preserve">Q99. </w:t>
      </w:r>
      <w:r>
        <w:rPr>
          <w:b/>
          <w:bCs/>
          <w:color w:val="0F172A"/>
          <w:sz w:val="23"/>
          <w:szCs w:val="23"/>
        </w:rPr>
        <w:t xml:space="preserve">What is your ask?</w:t>
      </w:r>
    </w:p>
    <w:p>
      <w:pPr>
        <w:spacing w:after="100"/>
      </w:pPr>
      <w:r>
        <w:rPr>
          <w:b/>
          <w:bCs/>
          <w:color w:val="047857"/>
          <w:sz w:val="22"/>
          <w:szCs w:val="22"/>
        </w:rPr>
        <w:t xml:space="preserve">A: </w:t>
      </w:r>
      <w:r>
        <w:rPr>
          <w:sz w:val="22"/>
          <w:szCs w:val="22"/>
        </w:rPr>
        <w:t xml:space="preserve">Three asks. (1) First-prize recognition — validation that the architecture is industrial-grade. (2) Cognizant Health Sciences referral path — 1-2 pilot accounts. (3) Internship offers for the team — we want to build this further inside Cognizant.</w:t>
      </w:r>
    </w:p>
    <w:p>
      <w:pPr>
        <w:spacing w:after="60" w:before="200"/>
      </w:pPr>
      <w:r>
        <w:rPr>
          <w:b/>
          <w:bCs/>
          <w:color w:val="4F46E5"/>
          <w:sz w:val="23"/>
          <w:szCs w:val="23"/>
        </w:rPr>
        <w:t xml:space="preserve">Q100. </w:t>
      </w:r>
      <w:r>
        <w:rPr>
          <w:b/>
          <w:bCs/>
          <w:color w:val="0F172A"/>
          <w:sz w:val="23"/>
          <w:szCs w:val="23"/>
        </w:rPr>
        <w:t xml:space="preserve">In one sentence — what do you want us to remember?</w:t>
      </w:r>
    </w:p>
    <w:p>
      <w:pPr>
        <w:spacing w:after="100"/>
      </w:pPr>
      <w:r>
        <w:rPr>
          <w:b/>
          <w:bCs/>
          <w:color w:val="047857"/>
          <w:sz w:val="22"/>
          <w:szCs w:val="22"/>
        </w:rPr>
        <w:t xml:space="preserve">A: </w:t>
      </w:r>
      <w:r>
        <w:rPr>
          <w:sz w:val="22"/>
          <w:szCs w:val="22"/>
        </w:rPr>
        <w:t xml:space="preserve">Authrex turns a $1,500, 14-day fax-fight into a $1.01, 60-second cited verdict — and it is built on the exact stack Cognizant standardised on November 4, 2024.</w:t>
      </w:r>
    </w:p>
    <w:p>
      <w:pPr>
        <w:spacing w:after="100"/>
      </w:pPr>
      <w:r>
        <w:t xml:space="preserve"/>
      </w:r>
    </w:p>
    <w:p>
      <w:pPr>
        <w:pStyle w:val="Heading1"/>
        <w:spacing w:after="160" w:before="320"/>
      </w:pPr>
      <w:r>
        <w:rPr>
          <w:b/>
          <w:bCs/>
          <w:color w:val="0F172A"/>
          <w:sz w:val="32"/>
          <w:szCs w:val="32"/>
        </w:rPr>
        <w:t xml:space="preserve">Closing note</w:t>
      </w:r>
    </w:p>
    <w:p>
      <w:pPr>
        <w:spacing w:after="100"/>
      </w:pPr>
      <w:r>
        <w:rPr>
          <w:sz w:val="22"/>
          <w:szCs w:val="22"/>
        </w:rPr>
        <w:t xml:space="preserve">You will not be asked all 100 of these. You will be asked 8-12, mostly from Sections A, C, and D. Drill those first. The killer insight: most teams answer questions defensively. Answer offensively — start with the strongest line, then justify.</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Page </w:t>
    </w:r>
    <w:r>
      <w:rPr>
        <w:color w:val="94A3B8"/>
        <w:sz w:val="18"/>
        <w:szCs w:val="18"/>
      </w:rPr>
      <w:fldChar w:fldCharType="begin"/>
      <w:instrText xml:space="preserve">PAGE</w:instrText>
      <w:fldChar w:fldCharType="separate"/>
      <w:fldChar w:fldCharType="end"/>
    </w:r>
    <w:r>
      <w:rPr>
        <w:color w:val="94A3B8"/>
        <w:sz w:val="18"/>
        <w:szCs w:val="18"/>
      </w:rPr>
      <w:t xml:space="preserve"> · Team AeroFyta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Authrex · 100+ Q&amp;A · Doc 3 of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0F172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2026-05-05T17:10:29.188Z</dcterms:created>
  <dcterms:modified xsi:type="dcterms:W3CDTF">2026-05-05T17:10:29.189Z</dcterms:modified>
</cp:coreProperties>
</file>

<file path=docProps/custom.xml><?xml version="1.0" encoding="utf-8"?>
<Properties xmlns="http://schemas.openxmlformats.org/officeDocument/2006/custom-properties" xmlns:vt="http://schemas.openxmlformats.org/officeDocument/2006/docPropsVTypes"/>
</file>