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D97706"/>
          <w:sz w:val="56"/>
          <w:szCs w:val="56"/>
        </w:rPr>
        <w:t xml:space="preserve">AUTHREX</w:t>
      </w:r>
    </w:p>
    <w:p>
      <w:pPr>
        <w:spacing w:after="600"/>
        <w:jc w:val="center"/>
      </w:pPr>
      <w:r>
        <w:rPr>
          <w:color w:val="475569"/>
          <w:sz w:val="26"/>
          <w:szCs w:val="26"/>
        </w:rPr>
        <w:t xml:space="preserve">How AWS Plays a Role — Service-by-Service Deep Dive</w:t>
      </w:r>
    </w:p>
    <w:p>
      <w:pPr>
        <w:spacing w:after="400"/>
        <w:jc w:val="center"/>
      </w:pPr>
      <w:r>
        <w:rPr>
          <w:i/>
          <w:iCs/>
          <w:color w:val="64748B"/>
          <w:sz w:val="22"/>
          <w:szCs w:val="22"/>
        </w:rPr>
        <w:t xml:space="preserve">Region ap-south-1 (Mumbai) · Cognizant-aligned stack · HIPAA-eligible</w:t>
      </w:r>
    </w:p>
    <w:p>
      <w:pPr>
        <w:spacing w:after="200"/>
        <w:jc w:val="center"/>
      </w:pPr>
      <w:r>
        <w:rPr>
          <w:color w:val="64748B"/>
          <w:sz w:val="22"/>
          <w:szCs w:val="22"/>
        </w:rPr>
        <w:t xml:space="preserve">Document 6 of 7 · Cognizant Technoverse Hackathon 2026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AWS in one paragraph</w:t>
      </w:r>
    </w:p>
    <w:p>
      <w:pPr>
        <w:spacing w:after="100"/>
      </w:pPr>
      <w:r>
        <w:rPr>
          <w:sz w:val="22"/>
          <w:szCs w:val="22"/>
        </w:rPr>
        <w:t xml:space="preserve">Authrex runs on AWS end-to-end. We chose AWS because Cognizant standardised on it for the November 4, 2024 Anthropic partnership. Region: ap-south-1 (Mumbai). Why Mumbai: 11 ms latency to the Pune onsite, plus ap-south-1 is HIPAA-eligible. Every workload that touches PHI is on a HIPAA-eligible service.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Quick map — what we use, in one table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00"/>
        <w:gridCol w:w="2606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Service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Why this one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Bedrock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hosting (Sonnet 4.6 + Haiku 4.5)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Cognizant standard. HIPAA-eligible. Region-pinnable.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 Business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Enterprise RAG over payer policies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Cognizant standard. Citations built in.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ECS Fargate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Hosts FastAPI backend + workers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Serverless containers. No EC2 to manage.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RDS Postgres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(cases, decisions, audit ledger)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Managed. RLS support. ACID for audit chain.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S3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FHIR Bundle archive + evidence packs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Cheap, durable, lifecycle policies for retention.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KMS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Encryption keys for at-rest data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 for HIPAA. AWS-managed key rotation.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CloudWatch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Logging + metrics + cost alarms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Built-in observability. Per-service breakdowns.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ALB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 HTTPS endpoint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Auto-renewing TLS. Path-based routing.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VPC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Private network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Bedrock VPC endpoints — never crosses public internet.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IAM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Permissions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Per-service roles. Principle of least privilege.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Secrets Manager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keys, DB passwords, JWT secrets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Auto-rotation. Audit log of every access.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(appeal letter delivery)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Verified-domain sender. Optional, when wired.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Section A — AWS Bedrock (the heart of Authrex)</w:t>
      </w:r>
    </w:p>
    <w:p>
      <w:pPr>
        <w:spacing w:after="60" w:before="220"/>
      </w:pPr>
      <w:r>
        <w:rPr>
          <w:b/>
          <w:bCs/>
          <w:color w:val="D97706"/>
          <w:sz w:val="26"/>
          <w:szCs w:val="26"/>
        </w:rPr>
        <w:t xml:space="preserve">AWS Bedrock — LLM hosting</w:t>
      </w:r>
    </w:p>
    <w:p>
      <w:pPr>
        <w:spacing w:after="50"/>
      </w:pPr>
      <w:r>
        <w:rPr>
          <w:b/>
          <w:bCs/>
          <w:color w:val="0F172A"/>
          <w:sz w:val="22"/>
          <w:szCs w:val="22"/>
        </w:rPr>
        <w:t xml:space="preserve">What it does in Authrex: </w:t>
      </w:r>
      <w:r>
        <w:rPr>
          <w:sz w:val="22"/>
          <w:szCs w:val="22"/>
        </w:rPr>
        <w:t xml:space="preserve">Bedrock hosts our LLMs. Every agent call to Claude Sonnet 4.6 or Haiku 4.5 goes through Bedrock InvokeModel API. Authrex never calls Anthropic's API directly in production.</w:t>
      </w:r>
    </w:p>
    <w:p>
      <w:pPr>
        <w:spacing w:after="50"/>
      </w:pPr>
      <w:r>
        <w:rPr>
          <w:b/>
          <w:bCs/>
          <w:color w:val="0F172A"/>
          <w:sz w:val="22"/>
          <w:szCs w:val="22"/>
        </w:rPr>
        <w:t xml:space="preserve">Why we chose it: </w:t>
      </w:r>
      <w:r>
        <w:rPr>
          <w:sz w:val="22"/>
          <w:szCs w:val="22"/>
        </w:rPr>
        <w:t xml:space="preserve">Three reasons: (1) Cognizant standardised on Bedrock for the November 4, 2024 Anthropic partnership. (2) Bedrock is HIPAA-eligible — Anthropic's direct API is not BAA-covered. (3) Bedrock has finer-grained IAM (per-team usage tracking, per-service quotas).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Cost: </w:t>
      </w:r>
      <w:r>
        <w:rPr>
          <w:sz w:val="22"/>
          <w:szCs w:val="22"/>
        </w:rPr>
        <w:t xml:space="preserve">$0.003 per 1K input tokens (Sonnet), $0.001 per 1K (Haiku). One Authrex case: ~$1.01.</w:t>
      </w:r>
    </w:p>
    <w:p>
      <w:pPr>
        <w:pStyle w:val="Heading2"/>
        <w:spacing w:after="120" w:before="240"/>
      </w:pPr>
      <w:r>
        <w:rPr>
          <w:b/>
          <w:bCs/>
          <w:color w:val="1E293B"/>
          <w:sz w:val="26"/>
          <w:szCs w:val="26"/>
        </w:rPr>
        <w:t xml:space="preserve">How we use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Region: ap-south-1 (Mumbai) — closest Bedrock region to Pune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Model IDs pinned: anthropic.claude-sonnet-4-6-20250514-v1:0 + anthropic.claude-haiku-4-5-v1:0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Inference profiles: cross-region for failover, with Mumbai primary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VPC endpoint: api calls never traverse the public internet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IAM: per-agent role assumed at invocation time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E293B"/>
          <w:sz w:val="26"/>
          <w:szCs w:val="26"/>
        </w:rPr>
        <w:t xml:space="preserve">Why region ap-south-1 specifically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11ms latency from Pune (the hackathon onsite)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 residency for any India-based pilots (Tata Memorial, Apollo)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HIPAA-eligible for the cross-border deployments planned for Year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Cost parity with us-east-1 — same dollar per token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E293B"/>
          <w:sz w:val="26"/>
          <w:szCs w:val="26"/>
        </w:rPr>
        <w:t xml:space="preserve">Cost model</w:t>
      </w:r>
    </w:p>
    <w:p>
      <w:pPr>
        <w:spacing w:after="100"/>
      </w:pPr>
      <w:r>
        <w:rPr>
          <w:sz w:val="22"/>
          <w:szCs w:val="22"/>
        </w:rPr>
        <w:t xml:space="preserve">A clean APPROVE case spends about $0.25 in Bedrock. A DENY with appeal letter spends about $0.55.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Sonnet input: 340K tokens × $0.003/1K = $1.02 (over a 98-call case)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Sonnet output: 68K tokens × $0.015/1K = $1.02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Haiku grading: 25K tokens × cheap rates = $0.10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Total around $1-2 per case in production today; $0.25-$0.55 with caching/prompt optimisation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Section B — AWS Q Business (the policy retrieval engine)</w:t>
      </w:r>
    </w:p>
    <w:p>
      <w:pPr>
        <w:spacing w:after="60" w:before="220"/>
      </w:pPr>
      <w:r>
        <w:rPr>
          <w:b/>
          <w:bCs/>
          <w:color w:val="D97706"/>
          <w:sz w:val="26"/>
          <w:szCs w:val="26"/>
        </w:rPr>
        <w:t xml:space="preserve">AWS Q Business</w:t>
      </w:r>
    </w:p>
    <w:p>
      <w:pPr>
        <w:spacing w:after="50"/>
      </w:pPr>
      <w:r>
        <w:rPr>
          <w:b/>
          <w:bCs/>
          <w:color w:val="0F172A"/>
          <w:sz w:val="22"/>
          <w:szCs w:val="22"/>
        </w:rPr>
        <w:t xml:space="preserve">What it does in Authrex: </w:t>
      </w:r>
      <w:r>
        <w:rPr>
          <w:sz w:val="22"/>
          <w:szCs w:val="22"/>
        </w:rPr>
        <w:t xml:space="preserve">Q Business indexes our payer policy corpus and serves retrieval. The policy_retriever agent's q_business_retriever sub-agent calls Q Business to find the top 10 most relevant policy sections for each case.</w:t>
      </w:r>
    </w:p>
    <w:p>
      <w:pPr>
        <w:spacing w:after="50"/>
      </w:pPr>
      <w:r>
        <w:rPr>
          <w:b/>
          <w:bCs/>
          <w:color w:val="0F172A"/>
          <w:sz w:val="22"/>
          <w:szCs w:val="22"/>
        </w:rPr>
        <w:t xml:space="preserve">Why we chose it: </w:t>
      </w:r>
      <w:r>
        <w:rPr>
          <w:sz w:val="22"/>
          <w:szCs w:val="22"/>
        </w:rPr>
        <w:t xml:space="preserve">Q Business is Cognizant's recommended RAG engine. It returns native citations with each result (source document + section). It is enterprise-grade — multi-tenant, ACL-aware, audit-logged.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Cost: </w:t>
      </w:r>
      <w:r>
        <w:rPr>
          <w:sz w:val="22"/>
          <w:szCs w:val="22"/>
        </w:rPr>
        <w:t xml:space="preserve">Pay-per-query pricing. Authrex makes 1 query per case. ~$0.005 per case.</w:t>
      </w:r>
    </w:p>
    <w:p>
      <w:pPr>
        <w:pStyle w:val="Heading2"/>
        <w:spacing w:after="120" w:before="240"/>
      </w:pPr>
      <w:r>
        <w:rPr>
          <w:b/>
          <w:bCs/>
          <w:color w:val="1E293B"/>
          <w:sz w:val="26"/>
          <w:szCs w:val="26"/>
        </w:rPr>
        <w:t xml:space="preserve">What we index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Aetna medical policies (drug-class focused, oncology priority)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UnitedHealthcare medical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NCCN guidelines (BINV, NSCL, COL series)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ASCO/CAP testing guidelines (HER2, EGFR,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Cigna and Humana policies for adjacent payer expansion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E293B"/>
          <w:sz w:val="26"/>
          <w:szCs w:val="26"/>
        </w:rPr>
        <w:t xml:space="preserve">How retrieval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1. keyword_filter (Postgres) narrows to ~50 candidate policies in &lt;100ms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2. Q Business semantic search returns top 10 of those 50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3. llm_reranker (Sonnet) picks final top 5 by case relevance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4. citation_resolver wraps each section in stable pointer format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E293B"/>
          <w:sz w:val="26"/>
          <w:szCs w:val="26"/>
        </w:rPr>
        <w:t xml:space="preserve">Why this beats pure semantic search</w:t>
      </w:r>
    </w:p>
    <w:p>
      <w:pPr>
        <w:spacing w:after="100"/>
      </w:pPr>
      <w:r>
        <w:rPr>
          <w:sz w:val="22"/>
          <w:szCs w:val="22"/>
        </w:rPr>
        <w:t xml:space="preserve">Semantic search alone returns "similar" results, but similarity is not relevance. Aetna 0123 §4.2 (cardiac workup) and Aetna 0123 §4.3 (concomitant therapy) are similar — both are cardiac-related — but only one applies to our HER2+ case. The LLM reranker reads the case and the candidates and picks the actual best matches.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Section C — Runtime (where the code lives)</w:t>
      </w:r>
    </w:p>
    <w:p>
      <w:pPr>
        <w:spacing w:after="60" w:before="220"/>
      </w:pPr>
      <w:r>
        <w:rPr>
          <w:b/>
          <w:bCs/>
          <w:color w:val="D97706"/>
          <w:sz w:val="26"/>
          <w:szCs w:val="26"/>
        </w:rPr>
        <w:t xml:space="preserve">ECS Fargate</w:t>
      </w:r>
    </w:p>
    <w:p>
      <w:pPr>
        <w:spacing w:after="50"/>
      </w:pPr>
      <w:r>
        <w:rPr>
          <w:b/>
          <w:bCs/>
          <w:color w:val="0F172A"/>
          <w:sz w:val="22"/>
          <w:szCs w:val="22"/>
        </w:rPr>
        <w:t xml:space="preserve">What it does in Authrex: </w:t>
      </w:r>
      <w:r>
        <w:rPr>
          <w:sz w:val="22"/>
          <w:szCs w:val="22"/>
        </w:rPr>
        <w:t xml:space="preserve">Hosts the FastAPI backend container + the worker container. Handles HTTP requests, runs LangGraph pipelines, calls Bedrock + Q Business + RDS.</w:t>
      </w:r>
    </w:p>
    <w:p>
      <w:pPr>
        <w:spacing w:after="50"/>
      </w:pPr>
      <w:r>
        <w:rPr>
          <w:b/>
          <w:bCs/>
          <w:color w:val="0F172A"/>
          <w:sz w:val="22"/>
          <w:szCs w:val="22"/>
        </w:rPr>
        <w:t xml:space="preserve">Why we chose it: </w:t>
      </w:r>
      <w:r>
        <w:rPr>
          <w:sz w:val="22"/>
          <w:szCs w:val="22"/>
        </w:rPr>
        <w:t xml:space="preserve">Serverless containers — no EC2 instances to manage. Auto-scales with load. Integrates with ALB and CloudWatch out of the box.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Cost: </w:t>
      </w:r>
      <w:r>
        <w:rPr>
          <w:sz w:val="22"/>
          <w:szCs w:val="22"/>
        </w:rPr>
        <w:t xml:space="preserve">$0.04 per CPU-hour. At our target volume (~10,000 cases/day), ~$300/month.</w:t>
      </w:r>
    </w:p>
    <w:p>
      <w:pPr>
        <w:spacing w:after="60" w:before="220"/>
      </w:pPr>
      <w:r>
        <w:rPr>
          <w:b/>
          <w:bCs/>
          <w:color w:val="D97706"/>
          <w:sz w:val="26"/>
          <w:szCs w:val="26"/>
        </w:rPr>
        <w:t xml:space="preserve">RDS Postgres</w:t>
      </w:r>
    </w:p>
    <w:p>
      <w:pPr>
        <w:spacing w:after="50"/>
      </w:pPr>
      <w:r>
        <w:rPr>
          <w:b/>
          <w:bCs/>
          <w:color w:val="0F172A"/>
          <w:sz w:val="22"/>
          <w:szCs w:val="22"/>
        </w:rPr>
        <w:t xml:space="preserve">What it does in Authrex: </w:t>
      </w:r>
      <w:r>
        <w:rPr>
          <w:sz w:val="22"/>
          <w:szCs w:val="22"/>
        </w:rPr>
        <w:t xml:space="preserve">The primary database. Stores cases, decisions, agent_runs, llm_invocations, audit_ledger, phi_redactions. Hash-chained audit ledger relies on Postgres triggers.</w:t>
      </w:r>
    </w:p>
    <w:p>
      <w:pPr>
        <w:spacing w:after="50"/>
      </w:pPr>
      <w:r>
        <w:rPr>
          <w:b/>
          <w:bCs/>
          <w:color w:val="0F172A"/>
          <w:sz w:val="22"/>
          <w:szCs w:val="22"/>
        </w:rPr>
        <w:t xml:space="preserve">Why we chose it: </w:t>
      </w:r>
      <w:r>
        <w:rPr>
          <w:sz w:val="22"/>
          <w:szCs w:val="22"/>
        </w:rPr>
        <w:t xml:space="preserve">Three reasons: (1) ACID transactions guarantee the audit chain holds under load. (2) Row-level security gives us tenant isolation at the kernel. (3) JSONB columns let us store agent outputs flexibly without schema-by-schema migrations.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Cost: </w:t>
      </w:r>
      <w:r>
        <w:rPr>
          <w:sz w:val="22"/>
          <w:szCs w:val="22"/>
        </w:rPr>
        <w:t xml:space="preserve">$0.10 per GB-hour for db.r6g.large. ~$120/month for our scale, scales linearly.</w:t>
      </w:r>
    </w:p>
    <w:p>
      <w:pPr>
        <w:spacing w:after="60" w:before="220"/>
      </w:pPr>
      <w:r>
        <w:rPr>
          <w:b/>
          <w:bCs/>
          <w:color w:val="D97706"/>
          <w:sz w:val="26"/>
          <w:szCs w:val="26"/>
        </w:rPr>
        <w:t xml:space="preserve">Application Load Balancer (ALB)</w:t>
      </w:r>
    </w:p>
    <w:p>
      <w:pPr>
        <w:spacing w:after="50"/>
      </w:pPr>
      <w:r>
        <w:rPr>
          <w:b/>
          <w:bCs/>
          <w:color w:val="0F172A"/>
          <w:sz w:val="22"/>
          <w:szCs w:val="22"/>
        </w:rPr>
        <w:t xml:space="preserve">What it does in Authrex: </w:t>
      </w:r>
      <w:r>
        <w:rPr>
          <w:sz w:val="22"/>
          <w:szCs w:val="22"/>
        </w:rPr>
        <w:t xml:space="preserve">The public HTTPS endpoint. Terminates TLS, routes to ECS. Auto-renews certs via ACM.</w:t>
      </w:r>
    </w:p>
    <w:p>
      <w:pPr>
        <w:spacing w:after="50"/>
      </w:pPr>
      <w:r>
        <w:rPr>
          <w:b/>
          <w:bCs/>
          <w:color w:val="0F172A"/>
          <w:sz w:val="22"/>
          <w:szCs w:val="22"/>
        </w:rPr>
        <w:t xml:space="preserve">Why we chose it: </w:t>
      </w:r>
      <w:r>
        <w:rPr>
          <w:sz w:val="22"/>
          <w:szCs w:val="22"/>
        </w:rPr>
        <w:t xml:space="preserve">Standard AWS pattern. SSE protocol works through ALB without quirks.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Cost: </w:t>
      </w:r>
      <w:r>
        <w:rPr>
          <w:sz w:val="22"/>
          <w:szCs w:val="22"/>
        </w:rPr>
        <w:t xml:space="preserve">~$20/month flat + $0.008 per LCU-hour. ~$30/month total at our volume.</w:t>
      </w:r>
    </w:p>
    <w:p>
      <w:pPr>
        <w:spacing w:after="60" w:before="220"/>
      </w:pPr>
      <w:r>
        <w:rPr>
          <w:b/>
          <w:bCs/>
          <w:color w:val="D97706"/>
          <w:sz w:val="26"/>
          <w:szCs w:val="26"/>
        </w:rPr>
        <w:t xml:space="preserve">VPC</w:t>
      </w:r>
    </w:p>
    <w:p>
      <w:pPr>
        <w:spacing w:after="50"/>
      </w:pPr>
      <w:r>
        <w:rPr>
          <w:b/>
          <w:bCs/>
          <w:color w:val="0F172A"/>
          <w:sz w:val="22"/>
          <w:szCs w:val="22"/>
        </w:rPr>
        <w:t xml:space="preserve">What it does in Authrex: </w:t>
      </w:r>
      <w:r>
        <w:rPr>
          <w:sz w:val="22"/>
          <w:szCs w:val="22"/>
        </w:rPr>
        <w:t xml:space="preserve">The private network. Everything except the ALB lives inside VPC. Bedrock is accessed via VPC endpoint, never the public internet.</w:t>
      </w:r>
    </w:p>
    <w:p>
      <w:pPr>
        <w:spacing w:after="50"/>
      </w:pPr>
      <w:r>
        <w:rPr>
          <w:b/>
          <w:bCs/>
          <w:color w:val="0F172A"/>
          <w:sz w:val="22"/>
          <w:szCs w:val="22"/>
        </w:rPr>
        <w:t xml:space="preserve">Why we chose it: </w:t>
      </w:r>
      <w:r>
        <w:rPr>
          <w:sz w:val="22"/>
          <w:szCs w:val="22"/>
        </w:rPr>
        <w:t xml:space="preserve">HIPAA requirement: PHI must travel only over private connections. VPC endpoints make Bedrock calls private.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Cost: </w:t>
      </w:r>
      <w:r>
        <w:rPr>
          <w:sz w:val="22"/>
          <w:szCs w:val="22"/>
        </w:rPr>
        <w:t xml:space="preserve">Free for the VPC itself. VPC endpoints: $0.01 per AZ-hour. ~$15/month.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Section D — Security (KMS, IAM, Secrets Manager)</w:t>
      </w:r>
    </w:p>
    <w:p>
      <w:pPr>
        <w:spacing w:after="60" w:before="220"/>
      </w:pPr>
      <w:r>
        <w:rPr>
          <w:b/>
          <w:bCs/>
          <w:color w:val="D97706"/>
          <w:sz w:val="26"/>
          <w:szCs w:val="26"/>
        </w:rPr>
        <w:t xml:space="preserve">KMS (Key Management Service)</w:t>
      </w:r>
    </w:p>
    <w:p>
      <w:pPr>
        <w:spacing w:after="50"/>
      </w:pPr>
      <w:r>
        <w:rPr>
          <w:b/>
          <w:bCs/>
          <w:color w:val="0F172A"/>
          <w:sz w:val="22"/>
          <w:szCs w:val="22"/>
        </w:rPr>
        <w:t xml:space="preserve">What it does in Authrex: </w:t>
      </w:r>
      <w:r>
        <w:rPr>
          <w:sz w:val="22"/>
          <w:szCs w:val="22"/>
        </w:rPr>
        <w:t xml:space="preserve">Encryption key management. Used to encrypt: RDS data at rest, S3 objects, audit ledger entries, JWT signing keys.</w:t>
      </w:r>
    </w:p>
    <w:p>
      <w:pPr>
        <w:spacing w:after="50"/>
      </w:pPr>
      <w:r>
        <w:rPr>
          <w:b/>
          <w:bCs/>
          <w:color w:val="0F172A"/>
          <w:sz w:val="22"/>
          <w:szCs w:val="22"/>
        </w:rPr>
        <w:t xml:space="preserve">Why we chose it: </w:t>
      </w:r>
      <w:r>
        <w:rPr>
          <w:sz w:val="22"/>
          <w:szCs w:val="22"/>
        </w:rPr>
        <w:t xml:space="preserve">Required for HIPAA. AWS-managed key rotation. Audit log of every key use. Tenant-specific keys for additional isolation.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Cost: </w:t>
      </w:r>
      <w:r>
        <w:rPr>
          <w:sz w:val="22"/>
          <w:szCs w:val="22"/>
        </w:rPr>
        <w:t xml:space="preserve">$1 per key per month + $0.03 per 10K API calls. ~$10/month.</w:t>
      </w:r>
    </w:p>
    <w:p>
      <w:pPr>
        <w:spacing w:after="60" w:before="220"/>
      </w:pPr>
      <w:r>
        <w:rPr>
          <w:b/>
          <w:bCs/>
          <w:color w:val="D97706"/>
          <w:sz w:val="26"/>
          <w:szCs w:val="26"/>
        </w:rPr>
        <w:t xml:space="preserve">IAM</w:t>
      </w:r>
    </w:p>
    <w:p>
      <w:pPr>
        <w:spacing w:after="50"/>
      </w:pPr>
      <w:r>
        <w:rPr>
          <w:b/>
          <w:bCs/>
          <w:color w:val="0F172A"/>
          <w:sz w:val="22"/>
          <w:szCs w:val="22"/>
        </w:rPr>
        <w:t xml:space="preserve">What it does in Authrex: </w:t>
      </w:r>
      <w:r>
        <w:rPr>
          <w:sz w:val="22"/>
          <w:szCs w:val="22"/>
        </w:rPr>
        <w:t xml:space="preserve">The permissions system. Each ECS task assumes a different IAM role with the minimum permissions needed.</w:t>
      </w:r>
    </w:p>
    <w:p>
      <w:pPr>
        <w:spacing w:after="50"/>
      </w:pPr>
      <w:r>
        <w:rPr>
          <w:b/>
          <w:bCs/>
          <w:color w:val="0F172A"/>
          <w:sz w:val="22"/>
          <w:szCs w:val="22"/>
        </w:rPr>
        <w:t xml:space="preserve">Why we chose it: </w:t>
      </w:r>
      <w:r>
        <w:rPr>
          <w:sz w:val="22"/>
          <w:szCs w:val="22"/>
        </w:rPr>
        <w:t xml:space="preserve">Defence in depth. Compromise of one container does not give attacker keys to the rest of the kingdom.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Cost: </w:t>
      </w:r>
      <w:r>
        <w:rPr>
          <w:sz w:val="22"/>
          <w:szCs w:val="22"/>
        </w:rPr>
        <w:t xml:space="preserve">Free.</w:t>
      </w:r>
    </w:p>
    <w:p>
      <w:pPr>
        <w:spacing w:after="60" w:before="220"/>
      </w:pPr>
      <w:r>
        <w:rPr>
          <w:b/>
          <w:bCs/>
          <w:color w:val="D97706"/>
          <w:sz w:val="26"/>
          <w:szCs w:val="26"/>
        </w:rPr>
        <w:t xml:space="preserve">Secrets Manager</w:t>
      </w:r>
    </w:p>
    <w:p>
      <w:pPr>
        <w:spacing w:after="50"/>
      </w:pPr>
      <w:r>
        <w:rPr>
          <w:b/>
          <w:bCs/>
          <w:color w:val="0F172A"/>
          <w:sz w:val="22"/>
          <w:szCs w:val="22"/>
        </w:rPr>
        <w:t xml:space="preserve">What it does in Authrex: </w:t>
      </w:r>
      <w:r>
        <w:rPr>
          <w:sz w:val="22"/>
          <w:szCs w:val="22"/>
        </w:rPr>
        <w:t xml:space="preserve">Stores DB passwords, JWT signing secrets, third-party API keys. Auto-rotates DB passwords.</w:t>
      </w:r>
    </w:p>
    <w:p>
      <w:pPr>
        <w:spacing w:after="50"/>
      </w:pPr>
      <w:r>
        <w:rPr>
          <w:b/>
          <w:bCs/>
          <w:color w:val="0F172A"/>
          <w:sz w:val="22"/>
          <w:szCs w:val="22"/>
        </w:rPr>
        <w:t xml:space="preserve">Why we chose it: </w:t>
      </w:r>
      <w:r>
        <w:rPr>
          <w:sz w:val="22"/>
          <w:szCs w:val="22"/>
        </w:rPr>
        <w:t xml:space="preserve">Single source for secrets. Audit log of every read. Compliance-grade.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Cost: </w:t>
      </w:r>
      <w:r>
        <w:rPr>
          <w:sz w:val="22"/>
          <w:szCs w:val="22"/>
        </w:rPr>
        <w:t xml:space="preserve">$0.40 per secret per month + $0.05 per 10K API calls. ~$5/month.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E293B"/>
          <w:sz w:val="26"/>
          <w:szCs w:val="26"/>
        </w:rPr>
        <w:t xml:space="preserve">IAM role pattern (per-component)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authrex-api-role — can read secrets, call Bedrock, query RDS via RDS IAM 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authrex-worker-role — same as api but with also write to audit_ledger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authrex-eval-role — read-only on RDS, can call Bedrock, cannot write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authrex-admin-role — full access (used only by ops, not by app code)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Section E — Data &amp; Storage (S3, RDS persistence)</w:t>
      </w:r>
    </w:p>
    <w:p>
      <w:pPr>
        <w:spacing w:after="60" w:before="220"/>
      </w:pPr>
      <w:r>
        <w:rPr>
          <w:b/>
          <w:bCs/>
          <w:color w:val="D97706"/>
          <w:sz w:val="26"/>
          <w:szCs w:val="26"/>
        </w:rPr>
        <w:t xml:space="preserve">S3 Buckets</w:t>
      </w:r>
    </w:p>
    <w:p>
      <w:pPr>
        <w:spacing w:after="50"/>
      </w:pPr>
      <w:r>
        <w:rPr>
          <w:b/>
          <w:bCs/>
          <w:color w:val="0F172A"/>
          <w:sz w:val="22"/>
          <w:szCs w:val="22"/>
        </w:rPr>
        <w:t xml:space="preserve">What it does in Authrex: </w:t>
      </w:r>
      <w:r>
        <w:rPr>
          <w:sz w:val="22"/>
          <w:szCs w:val="22"/>
        </w:rPr>
        <w:t xml:space="preserve">Stores: archived FHIR Bundles (input), evidence packs (output), full audit-log exports for auditors.</w:t>
      </w:r>
    </w:p>
    <w:p>
      <w:pPr>
        <w:spacing w:after="50"/>
      </w:pPr>
      <w:r>
        <w:rPr>
          <w:b/>
          <w:bCs/>
          <w:color w:val="0F172A"/>
          <w:sz w:val="22"/>
          <w:szCs w:val="22"/>
        </w:rPr>
        <w:t xml:space="preserve">Why we chose it: </w:t>
      </w:r>
      <w:r>
        <w:rPr>
          <w:sz w:val="22"/>
          <w:szCs w:val="22"/>
        </w:rPr>
        <w:t xml:space="preserve">Cheap, durable (11 nines), lifecycle policies (auto-archive to Glacier after 1 year, delete after 10).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Cost: </w:t>
      </w:r>
      <w:r>
        <w:rPr>
          <w:sz w:val="22"/>
          <w:szCs w:val="22"/>
        </w:rPr>
        <w:t xml:space="preserve">$0.023 per GB/month. ~$20/month at our volume.</w:t>
      </w:r>
    </w:p>
    <w:p>
      <w:pPr>
        <w:pStyle w:val="Heading2"/>
        <w:spacing w:after="120" w:before="240"/>
      </w:pPr>
      <w:r>
        <w:rPr>
          <w:b/>
          <w:bCs/>
          <w:color w:val="1E293B"/>
          <w:sz w:val="26"/>
          <w:szCs w:val="26"/>
        </w:rPr>
        <w:t xml:space="preserve">Bucket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s3://authrex-fhir-archive/{tenant}/{case_id}.json — input archive (10-year retention)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s3://authrex-evidence-packs/{tenant}/{quarter}/{case_id}.json — auditor exports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s3://authrex-audit-exports/{tenant}/{date}.ndjson — daily audit log dumps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s3://authrex-prompts/{agent}/{version}/{file}.txt — prompt version archive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E293B"/>
          <w:sz w:val="26"/>
          <w:szCs w:val="26"/>
        </w:rPr>
        <w:t xml:space="preserve">Lifecycle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FHIR bundles: hot 30 days → infrequent access 90 days → Glacier 1 year → delete 10 years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Evidence packs: hot 1 year → Glacier indefinite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Audit exports: hot 1 year → Glacier 10 years (CMS-0057-F retention)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Section F — Observability (CloudWatch, X-Ray, alarms)</w:t>
      </w:r>
    </w:p>
    <w:p>
      <w:pPr>
        <w:spacing w:after="60" w:before="220"/>
      </w:pPr>
      <w:r>
        <w:rPr>
          <w:b/>
          <w:bCs/>
          <w:color w:val="D97706"/>
          <w:sz w:val="26"/>
          <w:szCs w:val="26"/>
        </w:rPr>
        <w:t xml:space="preserve">CloudWatch Logs</w:t>
      </w:r>
    </w:p>
    <w:p>
      <w:pPr>
        <w:spacing w:after="50"/>
      </w:pPr>
      <w:r>
        <w:rPr>
          <w:b/>
          <w:bCs/>
          <w:color w:val="0F172A"/>
          <w:sz w:val="22"/>
          <w:szCs w:val="22"/>
        </w:rPr>
        <w:t xml:space="preserve">What it does in Authrex: </w:t>
      </w:r>
      <w:r>
        <w:rPr>
          <w:sz w:val="22"/>
          <w:szCs w:val="22"/>
        </w:rPr>
        <w:t xml:space="preserve">Every FastAPI request log + every agent invocation log + every LLM call log goes to CloudWatch Log Groups.</w:t>
      </w:r>
    </w:p>
    <w:p>
      <w:pPr>
        <w:spacing w:after="50"/>
      </w:pPr>
      <w:r>
        <w:rPr>
          <w:b/>
          <w:bCs/>
          <w:color w:val="0F172A"/>
          <w:sz w:val="22"/>
          <w:szCs w:val="22"/>
        </w:rPr>
        <w:t xml:space="preserve">Why we chose it: </w:t>
      </w:r>
      <w:r>
        <w:rPr>
          <w:sz w:val="22"/>
          <w:szCs w:val="22"/>
        </w:rPr>
        <w:t xml:space="preserve">Single pane of glass. Searchable. Integrates with Logs Insights for SQL-like queries over logs.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Cost: </w:t>
      </w:r>
      <w:r>
        <w:rPr>
          <w:sz w:val="22"/>
          <w:szCs w:val="22"/>
        </w:rPr>
        <w:t xml:space="preserve">$0.50 per GB ingested + $0.03 per GB stored/month. ~$30/month.</w:t>
      </w:r>
    </w:p>
    <w:p>
      <w:pPr>
        <w:spacing w:after="60" w:before="220"/>
      </w:pPr>
      <w:r>
        <w:rPr>
          <w:b/>
          <w:bCs/>
          <w:color w:val="D97706"/>
          <w:sz w:val="26"/>
          <w:szCs w:val="26"/>
        </w:rPr>
        <w:t xml:space="preserve">CloudWatch Metrics</w:t>
      </w:r>
    </w:p>
    <w:p>
      <w:pPr>
        <w:spacing w:after="50"/>
      </w:pPr>
      <w:r>
        <w:rPr>
          <w:b/>
          <w:bCs/>
          <w:color w:val="0F172A"/>
          <w:sz w:val="22"/>
          <w:szCs w:val="22"/>
        </w:rPr>
        <w:t xml:space="preserve">What it does in Authrex: </w:t>
      </w:r>
      <w:r>
        <w:rPr>
          <w:sz w:val="22"/>
          <w:szCs w:val="22"/>
        </w:rPr>
        <w:t xml:space="preserve">Per-agent latency, per-tenant cost, per-case duration, error rates.</w:t>
      </w:r>
    </w:p>
    <w:p>
      <w:pPr>
        <w:spacing w:after="50"/>
      </w:pPr>
      <w:r>
        <w:rPr>
          <w:b/>
          <w:bCs/>
          <w:color w:val="0F172A"/>
          <w:sz w:val="22"/>
          <w:szCs w:val="22"/>
        </w:rPr>
        <w:t xml:space="preserve">Why we chose it: </w:t>
      </w:r>
      <w:r>
        <w:rPr>
          <w:sz w:val="22"/>
          <w:szCs w:val="22"/>
        </w:rPr>
        <w:t xml:space="preserve">Custom dimensions per tenant + per agent. Powers our finops dashboard.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Cost: </w:t>
      </w:r>
      <w:r>
        <w:rPr>
          <w:sz w:val="22"/>
          <w:szCs w:val="22"/>
        </w:rPr>
        <w:t xml:space="preserve">$0.30 per metric per month. ~$50/month for ~150 custom metrics.</w:t>
      </w:r>
    </w:p>
    <w:p>
      <w:pPr>
        <w:spacing w:after="60" w:before="220"/>
      </w:pPr>
      <w:r>
        <w:rPr>
          <w:b/>
          <w:bCs/>
          <w:color w:val="D97706"/>
          <w:sz w:val="26"/>
          <w:szCs w:val="26"/>
        </w:rPr>
        <w:t xml:space="preserve">CloudWatch Alarms</w:t>
      </w:r>
    </w:p>
    <w:p>
      <w:pPr>
        <w:spacing w:after="50"/>
      </w:pPr>
      <w:r>
        <w:rPr>
          <w:b/>
          <w:bCs/>
          <w:color w:val="0F172A"/>
          <w:sz w:val="22"/>
          <w:szCs w:val="22"/>
        </w:rPr>
        <w:t xml:space="preserve">What it does in Authrex: </w:t>
      </w:r>
      <w:r>
        <w:rPr>
          <w:sz w:val="22"/>
          <w:szCs w:val="22"/>
        </w:rPr>
        <w:t xml:space="preserve">Pages on: error rate above 5%, p95 latency above 90s, daily Bedrock cost above $50.</w:t>
      </w:r>
    </w:p>
    <w:p>
      <w:pPr>
        <w:spacing w:after="50"/>
      </w:pPr>
      <w:r>
        <w:rPr>
          <w:b/>
          <w:bCs/>
          <w:color w:val="0F172A"/>
          <w:sz w:val="22"/>
          <w:szCs w:val="22"/>
        </w:rPr>
        <w:t xml:space="preserve">Why we chose it: </w:t>
      </w:r>
      <w:r>
        <w:rPr>
          <w:sz w:val="22"/>
          <w:szCs w:val="22"/>
        </w:rPr>
        <w:t xml:space="preserve">Standard SRE alerting. Sends to a Slack channel via SNS.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Cost: </w:t>
      </w:r>
      <w:r>
        <w:rPr>
          <w:sz w:val="22"/>
          <w:szCs w:val="22"/>
        </w:rPr>
        <w:t xml:space="preserve">$0.10 per alarm per month. ~$2/month for ~20 alarms.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Section G — Cost Summary</w:t>
      </w:r>
    </w:p>
    <w:p>
      <w:pPr>
        <w:pStyle w:val="Heading2"/>
        <w:spacing w:after="120" w:before="240"/>
      </w:pPr>
      <w:r>
        <w:rPr>
          <w:b/>
          <w:bCs/>
          <w:color w:val="1E293B"/>
          <w:sz w:val="26"/>
          <w:szCs w:val="26"/>
        </w:rPr>
        <w:t xml:space="preserve">Per-case unit economics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00"/>
        <w:gridCol w:w="2606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Cost (USD)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Bedrock (Sonnet)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$0.95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Most of the cost — agents reasoning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Bedrock (Haiku)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$0.05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Grader + lightweight extraction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 Business query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$0.005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retrieval per case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ECS CPU time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$0.01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~50 sec compute per case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RDS writes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$0.001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~30 row inserts per case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S3 write (archive)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$0.0001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FHIR bundle archived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$1.01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Verified May 5, 2026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E293B"/>
          <w:sz w:val="26"/>
          <w:szCs w:val="26"/>
        </w:rPr>
        <w:t xml:space="preserve">Monthly run-rate at scale (100 enterprise accounts × 5,000 PAs each)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500,000 cases/month × $1.01 = $505,000 cost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Revenue (Enterprise tier): 500,000 × $4 = $2,000,000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Gross margin: ~75%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Plus AWS infra (ECS, RDS, S3, KMS, etc.): ~$1,500/month — rounds to negligible at this scale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Why this AWS choice scores on Cognizant evaluation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AWS &amp; GenAI Usage criterion (~7 pts) — we use Bedrock, Q Business, MCP. All Cognizant-aligned.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Tech Design criterion (~17 pts) — provider abstraction means we are not lock-in to any single AWS 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Business Impact criterion (~17 pts) — region pin to ap-south-1 enables India-based pilots.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Compliance posture — KMS + VPC endpoints + HIPAA-eligible Bedrock = healthcare-deployable today.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Future AWS roadmap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AWS Marketplace listing — Q3 2027 (Series-A funding milestone)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AWS HealthLake integration for FHIR — Q4 2027 (when we onboard hospital systems)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AWS PrivateLink to TriZetto — when Cognizant payer-side go-live happens (Q1 2027)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Multi-region active-active — Year 2 (US-east, EU-west, AP-south)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>Page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8"/>
        <w:szCs w:val="18"/>
      </w:rPr>
      <w:t xml:space="preserve"> · Team AeroFyta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8"/>
        <w:szCs w:val="18"/>
      </w:rPr>
      <w:t xml:space="preserve">Authrex · AWS Role · Doc 6 of 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D9770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2026-05-05T17:18:05.041Z</dcterms:created>
  <dcterms:modified xsi:type="dcterms:W3CDTF">2026-05-05T17:18:05.042Z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