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 w:before="2400"/><w:jc w:val="center"/></w:pPr><w:r><w:rPr><w:b/><w:bCs/><w:color w:val="4F46E5"/><w:sz w:val="56"/><w:szCs w:val="56"/></w:rPr><w:t xml:space="preserve">AUTHREX</w:t></w:r></w:p><w:p><w:pPr><w:spacing w:after="600"/><w:jc w:val="center"/></w:pPr><w:r><w:rPr><w:color w:val="475569"/><w:sz w:val="26"/><w:szCs w:val="26"/></w:rPr><w:t xml:space="preserve">Competitive Analysis · Tech Stack · USPs · Innovations</w:t></w:r></w:p><w:p><w:pPr><w:spacing w:after="400"/><w:jc w:val="center"/></w:pPr><w:r><w:rPr><w:i/><w:iCs/><w:color w:val="64748B"/><w:sz w:val="22"/><w:szCs w:val="22"/></w:rPr><w:t xml:space="preserve">Why each technical choice. Why each competitor doesn&apos;t cover the same ground.</w:t></w:r></w:p><w:p><w:pPr><w:spacing w:after="200"/><w:jc w:val="center"/></w:pPr><w:r><w:rPr><w:color w:val="64748B"/><w:sz w:val="22"/><w:szCs w:val="22"/></w:rPr><w:t xml:space="preserve">Document 7 of 7 · Cognizant Technoverse Hackathon 2026</w:t></w:r></w:p><w:p><w:r><w:br w:type="page"/></w:r></w:p><w:p><w:pPr><w:pStyle w:val="Heading1"/><w:spacing w:after="160" w:before="320"/></w:pPr><w:r><w:rPr><w:b/><w:bCs/><w:color w:val="0F172A"/><w:sz w:val="32"/><w:szCs w:val="32"/></w:rPr><w:t xml:space="preserve">Part 1 — The Competitive Landscape</w:t></w:r></w:p><w:p><w:pPr><w:spacing w:after="100"/></w:pPr><w:r><w:rPr><w:sz w:val="22"/><w:szCs w:val="22"/></w:rPr><w:t xml:space="preserve">There are dozens of &quot;AI for prior auth&quot; startups. We mapped them by which side of the table they serve and what differentiator they actually have. Most occupy the same &quot;payer-side workflow automation&quot; niche. Authrex is the only player in the provider-side, citation-grounded, multi-agent niche.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The competitor map</w:t></w:r></w:p><w:tbl><w:tblPr><w:tblW w:type="dxa" w:w="950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1400"/><w:gridCol w:w="1400"/><w:gridCol w:w="1400"/><w:gridCol w:w="2906"/></w:tblGrid><w:tr><w:trPr><w:tblHeader/></w:trPr><0/></w:tr><w:tr><w:tc><w:tcPr><w:tcW w:type="dxa" w:w="2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/><w:bCs/><w:color w:val="0F172A"/><w:sz w:val="19"/><w:szCs w:val="19"/></w:rPr><w:t xml:space="preserve">Olive AI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Both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2906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Folded 2023 ($852M raised)</w:t></w:r></w:p></w:tc></w:tr><w:tr><w:tc><w:tcPr><w:tcW w:type="dxa" w:w="2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/><w:bCs/><w:color w:val="0F172A"/><w:sz w:val="19"/><w:szCs w:val="19"/></w:rPr><w:t xml:space="preserve">Notable Health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Payer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2906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Active</w:t></w:r></w:p></w:tc></w:tr><w:tr><w:tc><w:tcPr><w:tcW w:type="dxa" w:w="2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/><w:bCs/><w:color w:val="0F172A"/><w:sz w:val="19"/><w:szCs w:val="19"/></w:rPr><w:t xml:space="preserve">Cohere Health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Payer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2906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Active (UM focus)</w:t></w:r></w:p></w:tc></w:tr><w:tr><w:tc><w:tcPr><w:tcW w:type="dxa" w:w="2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/><w:bCs/><w:color w:val="0F172A"/><w:sz w:val="19"/><w:szCs w:val="19"/></w:rPr><w:t xml:space="preserve">Verata Health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Payer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2906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Acquired by Olive 2021, defunct</w:t></w:r></w:p></w:tc></w:tr><w:tr><w:tc><w:tcPr><w:tcW w:type="dxa" w:w="2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/><w:bCs/><w:color w:val="0F172A"/><w:sz w:val="19"/><w:szCs w:val="19"/></w:rPr><w:t xml:space="preserve">Glidian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Provider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2906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Workflow only</w:t></w:r></w:p></w:tc></w:tr><w:tr><w:tc><w:tcPr><w:tcW w:type="dxa" w:w="2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/><w:bCs/><w:color w:val="0F172A"/><w:sz w:val="19"/><w:szCs w:val="19"/></w:rPr><w:t xml:space="preserve">Rhyme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Both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2906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Active</w:t></w:r></w:p></w:tc></w:tr><w:tr><w:tc><w:tcPr><w:tcW w:type="dxa" w:w="2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/><w:bCs/><w:color w:val="0F172A"/><w:sz w:val="19"/><w:szCs w:val="19"/></w:rPr><w:t xml:space="preserve">Infinx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Provider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No</w:t></w:r></w:p></w:tc><w:tc><w:tcPr><w:tcW w:type="dxa" w:w="2906"/><w:tcBorders><w:top w:val="single" w:color="CCCCCC" w:sz="4"/><w:left w:val="single" w:color="CCCCCC" w:sz="4"/><w:bottom w:val="single" w:color="CCCCCC" w:sz="4"/><w:right w:val="single" w:color="CCCCCC" w:sz="4"/></w:tcBorders><w:shd w:fill="FFFFFF" w:val="clear"/><w:tcMar><w:top w:type="dxa" w:w="80"/><w:left w:type="dxa" w:w="100"/><w:bottom w:type="dxa" w:w="80"/><w:right w:type="dxa" w:w="100"/></w:tcMar></w:tcPr><w:p><w:r><w:rPr><w:b w:val="false"/><w:bCs w:val="false"/><w:color w:val="0F172A"/><w:sz w:val="19"/><w:szCs w:val="19"/></w:rPr><w:t xml:space="preserve">Active (workflow)</w:t></w:r></w:p></w:tc></w:tr><w:tr><w:tc><w:tcPr><w:tcW w:type="dxa" w:w="2400"/><w:tcBorders><w:top w:val="single" w:color="CCCCCC" w:sz="4"/><w:left w:val="single" w:color="CCCCCC" w:sz="4"/><w:bottom w:val="single" w:color="CCCCCC" w:sz="4"/><w:right w:val="single" w:color="CCCCCC" w:sz="4"/></w:tcBorders><w:shd w:fill="F0FDF4" w:val="clear"/><w:tcMar><w:top w:type="dxa" w:w="80"/><w:left w:type="dxa" w:w="100"/><w:bottom w:type="dxa" w:w="80"/><w:right w:type="dxa" w:w="100"/></w:tcMar></w:tcPr><w:p><w:r><w:rPr><w:b/><w:bCs/><w:color w:val="047857"/><w:sz w:val="19"/><w:szCs w:val="19"/></w:rPr><w:t xml:space="preserve">Authrex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0FDF4" w:val="clear"/><w:tcMar><w:top w:type="dxa" w:w="80"/><w:left w:type="dxa" w:w="100"/><w:bottom w:type="dxa" w:w="80"/><w:right w:type="dxa" w:w="100"/></w:tcMar></w:tcPr><w:p><w:r><w:rPr><w:b/><w:bCs/><w:color w:val="047857"/><w:sz w:val="19"/><w:szCs w:val="19"/></w:rPr><w:t xml:space="preserve">Provider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0FDF4" w:val="clear"/><w:tcMar><w:top w:type="dxa" w:w="80"/><w:left w:type="dxa" w:w="100"/><w:bottom w:type="dxa" w:w="80"/><w:right w:type="dxa" w:w="100"/></w:tcMar></w:tcPr><w:p><w:r><w:rPr><w:b/><w:bCs/><w:color w:val="047857"/><w:sz w:val="19"/><w:szCs w:val="19"/></w:rPr><w:t xml:space="preserve">YES</w:t></w:r></w:p></w:tc><w:tc><w:tcPr><w:tcW w:type="dxa" w:w="1400"/><w:tcBorders><w:top w:val="single" w:color="CCCCCC" w:sz="4"/><w:left w:val="single" w:color="CCCCCC" w:sz="4"/><w:bottom w:val="single" w:color="CCCCCC" w:sz="4"/><w:right w:val="single" w:color="CCCCCC" w:sz="4"/></w:tcBorders><w:shd w:fill="F0FDF4" w:val="clear"/><w:tcMar><w:top w:type="dxa" w:w="80"/><w:left w:type="dxa" w:w="100"/><w:bottom w:type="dxa" w:w="80"/><w:right w:type="dxa" w:w="100"/></w:tcMar></w:tcPr><w:p><w:r><w:rPr><w:b/><w:bCs/><w:color w:val="047857"/><w:sz w:val="19"/><w:szCs w:val="19"/></w:rPr><w:t xml:space="preserve">YES</w:t></w:r></w:p></w:tc><w:tc><w:tcPr><w:tcW w:type="dxa" w:w="2906"/><w:tcBorders><w:top w:val="single" w:color="CCCCCC" w:sz="4"/><w:left w:val="single" w:color="CCCCCC" w:sz="4"/><w:bottom w:val="single" w:color="CCCCCC" w:sz="4"/><w:right w:val="single" w:color="CCCCCC" w:sz="4"/></w:tcBorders><w:shd w:fill="F0FDF4" w:val="clear"/><w:tcMar><w:top w:type="dxa" w:w="80"/><w:left w:type="dxa" w:w="100"/><w:bottom w:type="dxa" w:w="80"/><w:right w:type="dxa" w:w="100"/></w:tcMar></w:tcPr><w:p><w:r><w:rPr><w:b/><w:bCs/><w:color w:val="047857"/><w:sz w:val="19"/><w:szCs w:val="19"/></w:rPr><w:t xml:space="preserve">Built on Cognizant stack</w:t></w:r></w:p></w:tc></w:tr></w:tbl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The graveyard tells the story</w:t></w:r></w:p><w:p><w:pPr><w:spacing w:after="100"/></w:pPr><w:r><w:rPr><w:sz w:val="22"/><w:szCs w:val="22"/></w:rPr><w:t xml:space="preserve">Olive AI raised $852 million between 2018 and 2023 to automate healthcare workflows including prior auth. They folded in 2023 — never reached profitability. Why? They built workflow automation, not decision-grounding. When an LLM made a wrong call, there was no citation chain to defend it.</w:t></w:r></w:p><w:p><w:pPr><w:spacing w:after="100"/></w:pPr><w:r><w:rPr><w:sz w:val="22"/><w:szCs w:val="22"/></w:rPr><w:t xml:space="preserve">Verata Health was acquired by Olive in 2021 (now defunct). Same architecture problem.</w:t></w:r></w:p><w:p><w:pPr><w:spacing w:after="100"/></w:pPr><w:r><w:t xml:space="preserve"></w:t></w:r></w:p><w:tbl><w:tblPr><w:tblW w:type="dxa" w:w="950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506"/></w:tblGrid><w:tr><w:tc><w:tcPr><w:tcW w:type="dxa" w:w="9506"/><w:tcBorders><w:top w:val="single" w:color="BE123C" w:sz="16"/><w:left w:val="single" w:color="CCCCCC" w:sz="4"/><w:bottom w:val="single" w:color="CCCCCC" w:sz="4"/><w:right w:val="single" w:color="CCCCCC" w:sz="4"/></w:tcBorders><w:shd w:fill="FEF2F2" w:val="clear"/><w:tcMar><w:top w:type="dxa" w:w="120"/><w:left w:type="dxa" w:w="200"/><w:bottom w:type="dxa" w:w="120"/><w:right w:type="dxa" w:w="200"/></w:tcMar></w:tcPr><w:p><w:pPr><w:spacing w:after="60"/></w:pPr><w:r><w:rPr><w:b/><w:bCs/><w:color w:val="BE123C"/><w:sz w:val="20"/><w:szCs w:val="20"/></w:rPr><w:t xml:space="preserve">Why Olive&apos;s $852M failure validates Authrex</w:t></w:r></w:p><w:p><w:r><w:rPr><w:sz w:val="22"/><w:szCs w:val="22"/></w:rPr><w:t xml:space="preserve">They built the same SaaS workflow shell that hundreds of healthcare-tech startups build. They missed the architectural insight: in healthcare AI, the citation chain IS the product. Authrex starts where Olive should have started — with auditability as the foundation, not a bolt-on.</w:t></w:r></w:p></w:tc></w:tr></w:tbl><w:p><w:r><w:br w:type="page"/></w:r></w:p><w:p><w:pPr><w:pStyle w:val="Heading1"/><w:spacing w:after="160" w:before="320"/></w:pPr><w:r><w:rPr><w:b/><w:bCs/><w:color w:val="0F172A"/><w:sz w:val="32"/><w:szCs w:val="32"/></w:rPr><w:t xml:space="preserve">Part 2 — Why Each Tech Stack Choice (over alternatives)</w:t></w:r></w:p><w:p><w:pPr><w:pStyle w:val="Heading2"/><w:spacing w:after="120" w:before="240"/></w:pPr><w:r><w:rPr><w:b/><w:bCs/><w:color w:val="1E293B"/><w:sz w:val="26"/><w:szCs w:val="26"/></w:rPr><w:t xml:space="preserve">LLM choice: Claude Sonnet 4.6 (vs GPT-4 / Gemini / Llama)</w:t></w:r></w:p><w:p><w:pPr><w:spacing w:after="100"/></w:pPr><w:r><w:rPr><w:sz w:val="22"/><w:szCs w:val="22"/></w:rPr><w:t xml:space="preserve">We chose Claude Sonnet 4.6. We considered:</w:t></w:r></w:p><w:p><w:pPr><w:pStyle w:val="ListParagraph"/><w:numPr><w:ilvl w:val="0"/><w:numId w:val="2"/></w:numPr><w:spacing w:after="60"/></w:pPr><w:r><w:rPr><w:sz w:val="22"/><w:szCs w:val="22"/></w:rPr><w:t xml:space="preserve">GPT-4 (OpenAI) — comparable quality, but no Cognizant standardisation, less HIPAA-friendly path</w:t></w:r></w:p><w:p><w:pPr><w:pStyle w:val="ListParagraph"/><w:numPr><w:ilvl w:val="0"/><w:numId w:val="2"/></w:numPr><w:spacing w:after="60"/></w:pPr><w:r><w:rPr><w:sz w:val="22"/><w:szCs w:val="22"/></w:rPr><w:t xml:space="preserve">Gemini Pro — not BAA-covered, less mature for clinical reasoning</w:t></w:r></w:p><w:p><w:pPr><w:pStyle w:val="ListParagraph"/><w:numPr><w:ilvl w:val="0"/><w:numId w:val="2"/></w:numPr><w:spacing w:after="60"/></w:pPr><w:r><w:rPr><w:sz w:val="22"/><w:szCs w:val="22"/></w:rPr><w:t xml:space="preserve">Llama 3.1 70B — lower cost but lower quality on complex policy reasoning; would also need self-hosting</w:t></w:r></w:p><w:p><w:pPr><w:pStyle w:val="ListParagraph"/><w:numPr><w:ilvl w:val="0"/><w:numId w:val="2"/></w:numPr><w:spacing w:after="60"/></w:pPr><w:r><w:rPr><w:sz w:val="22"/><w:szCs w:val="22"/></w:rPr><w:t xml:space="preserve">Mistral Large — adequate quality but limited Bedrock availability in ap-south-1</w:t></w:r></w:p><w:p><w:pPr><w:spacing w:after="100"/></w:pPr><w:r><w:t xml:space="preserve"></w:t></w:r></w:p><w:p><w:pPr><w:pStyle w:val="Heading3"/><w:spacing w:after="80" w:before="200"/></w:pPr><w:r><w:rPr><w:b/><w:bCs/><w:color w:val="4F46E5"/><w:sz w:val="22"/><w:szCs w:val="22"/></w:rPr><w:t xml:space="preserve">Why Claude Sonnet 4.6 won</w:t></w:r></w:p><w:p><w:pPr><w:pStyle w:val="ListParagraph"/><w:numPr><w:ilvl w:val="0"/><w:numId w:val="2"/></w:numPr><w:spacing w:after="60"/></w:pPr><w:r><w:rPr><w:sz w:val="22"/><w:szCs w:val="22"/></w:rPr><w:t xml:space="preserve">Cognizant standardised on Anthropic models in November 2024 (the partnership announcement)</w:t></w:r></w:p><w:p><w:pPr><w:pStyle w:val="ListParagraph"/><w:numPr><w:ilvl w:val="0"/><w:numId w:val="2"/></w:numPr><w:spacing w:after="60"/></w:pPr><w:r><w:rPr><w:sz w:val="22"/><w:szCs w:val="22"/></w:rPr><w:t xml:space="preserve">Strongest medical reasoning in independent benchmarks (HumanEval-Med, MedQA)</w:t></w:r></w:p><w:p><w:pPr><w:pStyle w:val="ListParagraph"/><w:numPr><w:ilvl w:val="0"/><w:numId w:val="2"/></w:numPr><w:spacing w:after="60"/></w:pPr><w:r><w:rPr><w:sz w:val="22"/><w:szCs w:val="22"/></w:rPr><w:t xml:space="preserve">200K token context — large enough for full FHIR Bundle + 5 policy excerpts</w:t></w:r></w:p><w:p><w:pPr><w:pStyle w:val="ListParagraph"/><w:numPr><w:ilvl w:val="0"/><w:numId w:val="2"/></w:numPr><w:spacing w:after="60"/></w:pPr><w:r><w:rPr><w:sz w:val="22"/><w:szCs w:val="22"/></w:rPr><w:t xml:space="preserve">Bedrock-hosted = HIPAA-eligible, region-pinnable to Mumbai</w:t></w:r></w:p><w:p><w:pPr><w:pStyle w:val="ListParagraph"/><w:numPr><w:ilvl w:val="0"/><w:numId w:val="2"/></w:numPr><w:spacing w:after="60"/></w:pPr><w:r><w:rPr><w:sz w:val="22"/><w:szCs w:val="22"/></w:rPr><w:t xml:space="preserve">MCP support is native — Anthropic invented the protocol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Orchestration: LangGraph (vs CrewAI / AutoGen / Custom)</w:t></w:r></w:p><w:p><w:pPr><w:pStyle w:val="ListParagraph"/><w:numPr><w:ilvl w:val="0"/><w:numId w:val="2"/></w:numPr><w:spacing w:after="60"/></w:pPr><w:r><w:rPr><w:sz w:val="22"/><w:szCs w:val="22"/></w:rPr><w:t xml:space="preserve">CrewAI — popular but less mature, weak typing, harder to test</w:t></w:r></w:p><w:p><w:pPr><w:pStyle w:val="ListParagraph"/><w:numPr><w:ilvl w:val="0"/><w:numId w:val="2"/></w:numPr><w:spacing w:after="60"/></w:pPr><w:r><w:rPr><w:sz w:val="22"/><w:szCs w:val="22"/></w:rPr><w:t xml:space="preserve">AutoGen (Microsoft) — strong for conversational agents, weak for DAG flows</w:t></w:r></w:p><w:p><w:pPr><w:pStyle w:val="ListParagraph"/><w:numPr><w:ilvl w:val="0"/><w:numId w:val="2"/></w:numPr><w:spacing w:after="60"/></w:pPr><w:r><w:rPr><w:sz w:val="22"/><w:szCs w:val="22"/></w:rPr><w:t xml:space="preserve">Custom Python — would take 2 weeks of plumbing we did not have</w:t></w:r></w:p><w:p><w:pPr><w:spacing w:after="100"/></w:pPr><w:r><w:t xml:space="preserve"></w:t></w:r></w:p><w:p><w:pPr><w:pStyle w:val="Heading3"/><w:spacing w:after="80" w:before="200"/></w:pPr><w:r><w:rPr><w:b/><w:bCs/><w:color w:val="4F46E5"/><w:sz w:val="22"/><w:szCs w:val="22"/></w:rPr><w:t xml:space="preserve">Why LangGraph won</w:t></w:r></w:p><w:p><w:pPr><w:pStyle w:val="ListParagraph"/><w:numPr><w:ilvl w:val="0"/><w:numId w:val="2"/></w:numPr><w:spacing w:after="60"/></w:pPr><w:r><w:rPr><w:sz w:val="22"/><w:szCs w:val="22"/></w:rPr><w:t xml:space="preserve">De-facto standard for multi-agent DAGs in Python</w:t></w:r></w:p><w:p><w:pPr><w:pStyle w:val="ListParagraph"/><w:numPr><w:ilvl w:val="0"/><w:numId w:val="2"/></w:numPr><w:spacing w:after="60"/></w:pPr><w:r><w:rPr><w:sz w:val="22"/><w:szCs w:val="22"/></w:rPr><w:t xml:space="preserve">Stateful — case state propagates through agents naturally</w:t></w:r></w:p><w:p><w:pPr><w:pStyle w:val="ListParagraph"/><w:numPr><w:ilvl w:val="0"/><w:numId w:val="2"/></w:numPr><w:spacing w:after="60"/></w:pPr><w:r><w:rPr><w:sz w:val="22"/><w:szCs w:val="22"/></w:rPr><w:t xml:space="preserve">Conditional branching — Appeals Drafter only fires on DENY, native LangGraph feature</w:t></w:r></w:p><w:p><w:pPr><w:pStyle w:val="ListParagraph"/><w:numPr><w:ilvl w:val="0"/><w:numId w:val="2"/></w:numPr><w:spacing w:after="60"/></w:pPr><w:r><w:rPr><w:sz w:val="22"/><w:szCs w:val="22"/></w:rPr><w:t xml:space="preserve">Type-safe state via Pydantic</w:t></w:r></w:p><w:p><w:pPr><w:pStyle w:val="ListParagraph"/><w:numPr><w:ilvl w:val="0"/><w:numId w:val="2"/></w:numPr><w:spacing w:after="60"/></w:pPr><w:r><w:rPr><w:sz w:val="22"/><w:szCs w:val="22"/></w:rPr><w:t xml:space="preserve">Cognizant&apos;s Neuro-SAN AAOSA reference architecture is in LangGraph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Database: PostgreSQL (vs MongoDB / DynamoDB)</w:t></w:r></w:p><w:p><w:pPr><w:pStyle w:val="ListParagraph"/><w:numPr><w:ilvl w:val="0"/><w:numId w:val="2"/></w:numPr><w:spacing w:after="60"/></w:pPr><w:r><w:rPr><w:sz w:val="22"/><w:szCs w:val="22"/></w:rPr><w:t xml:space="preserve">MongoDB — flexible JSON, but no row-level security at kernel level</w:t></w:r></w:p><w:p><w:pPr><w:pStyle w:val="ListParagraph"/><w:numPr><w:ilvl w:val="0"/><w:numId w:val="2"/></w:numPr><w:spacing w:after="60"/></w:pPr><w:r><w:rPr><w:sz w:val="22"/><w:szCs w:val="22"/></w:rPr><w:t xml:space="preserve">DynamoDB — fast at scale, but ACID is per-item not cross-item; audit chain broken</w:t></w:r></w:p><w:p><w:pPr><w:pStyle w:val="ListParagraph"/><w:numPr><w:ilvl w:val="0"/><w:numId w:val="2"/></w:numPr><w:spacing w:after="60"/></w:pPr><w:r><w:rPr><w:sz w:val="22"/><w:szCs w:val="22"/></w:rPr><w:t xml:space="preserve">Aurora MySQL — also viable, but Postgres has stronger JSONB + RLS support</w:t></w:r></w:p><w:p><w:pPr><w:spacing w:after="100"/></w:pPr><w:r><w:t xml:space="preserve"></w:t></w:r></w:p><w:p><w:pPr><w:pStyle w:val="Heading3"/><w:spacing w:after="80" w:before="200"/></w:pPr><w:r><w:rPr><w:b/><w:bCs/><w:color w:val="4F46E5"/><w:sz w:val="22"/><w:szCs w:val="22"/></w:rPr><w:t xml:space="preserve">Why Postgres won</w:t></w:r></w:p><w:p><w:pPr><w:pStyle w:val="ListParagraph"/><w:numPr><w:ilvl w:val="0"/><w:numId w:val="2"/></w:numPr><w:spacing w:after="60"/></w:pPr><w:r><w:rPr><w:sz w:val="22"/><w:szCs w:val="22"/></w:rPr><w:t xml:space="preserve">Row-level security gives kernel-enforced tenant isolation</w:t></w:r></w:p><w:p><w:pPr><w:pStyle w:val="ListParagraph"/><w:numPr><w:ilvl w:val="0"/><w:numId w:val="2"/></w:numPr><w:spacing w:after="60"/></w:pPr><w:r><w:rPr><w:sz w:val="22"/><w:szCs w:val="22"/></w:rPr><w:t xml:space="preserve">JSONB columns let us store agent outputs without schema-by-schema migration</w:t></w:r></w:p><w:p><w:pPr><w:pStyle w:val="ListParagraph"/><w:numPr><w:ilvl w:val="0"/><w:numId w:val="2"/></w:numPr><w:spacing w:after="60"/></w:pPr><w:r><w:rPr><w:sz w:val="22"/><w:szCs w:val="22"/></w:rPr><w:t xml:space="preserve">ACID transactions guarantee the audit hash chain holds under load</w:t></w:r></w:p><w:p><w:pPr><w:pStyle w:val="ListParagraph"/><w:numPr><w:ilvl w:val="0"/><w:numId w:val="2"/></w:numPr><w:spacing w:after="60"/></w:pPr><w:r><w:rPr><w:sz w:val="22"/><w:szCs w:val="22"/></w:rPr><w:t xml:space="preserve">Triggers can compute the hash chain at write time</w:t></w:r></w:p><w:p><w:pPr><w:pStyle w:val="ListParagraph"/><w:numPr><w:ilvl w:val="0"/><w:numId w:val="2"/></w:numPr><w:spacing w:after="60"/></w:pPr><w:r><w:rPr><w:sz w:val="22"/><w:szCs w:val="22"/></w:rPr><w:t xml:space="preserve">Cognizant standard for relational workloads on AWS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Frontend: React + Vite + TypeScript (vs Next.js / Angular / SvelteKit)</w:t></w:r></w:p><w:p><w:pPr><w:pStyle w:val="ListParagraph"/><w:numPr><w:ilvl w:val="0"/><w:numId w:val="2"/></w:numPr><w:spacing w:after="60"/></w:pPr><w:r><w:rPr><w:sz w:val="22"/><w:szCs w:val="22"/></w:rPr><w:t xml:space="preserve">Next.js — server-side rendering not needed for our app (it is internal-tool style)</w:t></w:r></w:p><w:p><w:pPr><w:pStyle w:val="ListParagraph"/><w:numPr><w:ilvl w:val="0"/><w:numId w:val="2"/></w:numPr><w:spacing w:after="60"/></w:pPr><w:r><w:rPr><w:sz w:val="22"/><w:szCs w:val="22"/></w:rPr><w:t xml:space="preserve">Angular — enterprise-friendly but heavier, slower iteration</w:t></w:r></w:p><w:p><w:pPr><w:pStyle w:val="ListParagraph"/><w:numPr><w:ilvl w:val="0"/><w:numId w:val="2"/></w:numPr><w:spacing w:after="60"/></w:pPr><w:r><w:rPr><w:sz w:val="22"/><w:szCs w:val="22"/></w:rPr><w:t xml:space="preserve">SvelteKit — modern but smaller hiring pool</w:t></w:r></w:p><w:p><w:pPr><w:spacing w:after="100"/></w:pPr><w:r><w:t xml:space="preserve"></w:t></w:r></w:p><w:p><w:pPr><w:pStyle w:val="Heading3"/><w:spacing w:after="80" w:before="200"/></w:pPr><w:r><w:rPr><w:b/><w:bCs/><w:color w:val="4F46E5"/><w:sz w:val="22"/><w:szCs w:val="22"/></w:rPr><w:t xml:space="preserve">Why React + Vite won</w:t></w:r></w:p><w:p><w:pPr><w:pStyle w:val="ListParagraph"/><w:numPr><w:ilvl w:val="0"/><w:numId w:val="2"/></w:numPr><w:spacing w:after="60"/></w:pPr><w:r><w:rPr><w:sz w:val="22"/><w:szCs w:val="22"/></w:rPr><w:t xml:space="preserve">Largest hiring pool — easy to scale the team</w:t></w:r></w:p><w:p><w:pPr><w:pStyle w:val="ListParagraph"/><w:numPr><w:ilvl w:val="0"/><w:numId w:val="2"/></w:numPr><w:spacing w:after="60"/></w:pPr><w:r><w:rPr><w:sz w:val="22"/><w:szCs w:val="22"/></w:rPr><w:t xml:space="preserve">Vite gives us fast dev cycle (HMR in &lt;100ms)</w:t></w:r></w:p><w:p><w:pPr><w:pStyle w:val="ListParagraph"/><w:numPr><w:ilvl w:val="0"/><w:numId w:val="2"/></w:numPr><w:spacing w:after="60"/></w:pPr><w:r><w:rPr><w:sz w:val="22"/><w:szCs w:val="22"/></w:rPr><w:t xml:space="preserve">TypeScript strict gives us the same type safety benefits Python&apos;s mypy gives the backend</w:t></w:r></w:p><w:p><w:pPr><w:pStyle w:val="ListParagraph"/><w:numPr><w:ilvl w:val="0"/><w:numId w:val="2"/></w:numPr><w:spacing w:after="60"/></w:pPr><w:r><w:rPr><w:sz w:val="22"/><w:szCs w:val="22"/></w:rPr><w:t xml:space="preserve">Tailwind for styling lets us match the design system without custom CSS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Backend: FastAPI (vs Flask / Django / Spring Boot)</w:t></w:r></w:p><w:p><w:pPr><w:pStyle w:val="ListParagraph"/><w:numPr><w:ilvl w:val="0"/><w:numId w:val="2"/></w:numPr><w:spacing w:after="60"/></w:pPr><w:r><w:rPr><w:sz w:val="22"/><w:szCs w:val="22"/></w:rPr><w:t xml:space="preserve">Flask — synchronous, would block on 60-second LLM calls</w:t></w:r></w:p><w:p><w:pPr><w:pStyle w:val="ListParagraph"/><w:numPr><w:ilvl w:val="0"/><w:numId w:val="2"/></w:numPr><w:spacing w:after="60"/></w:pPr><w:r><w:rPr><w:sz w:val="22"/><w:szCs w:val="22"/></w:rPr><w:t xml:space="preserve">Django — too heavy for an API-only backend</w:t></w:r></w:p><w:p><w:pPr><w:pStyle w:val="ListParagraph"/><w:numPr><w:ilvl w:val="0"/><w:numId w:val="2"/></w:numPr><w:spacing w:after="60"/></w:pPr><w:r><w:rPr><w:sz w:val="22"/><w:szCs w:val="22"/></w:rPr><w:t xml:space="preserve">Spring Boot — Java; would alienate the AI/Python ecosystem</w:t></w:r></w:p><w:p><w:pPr><w:spacing w:after="100"/></w:pPr><w:r><w:t xml:space="preserve"></w:t></w:r></w:p><w:p><w:pPr><w:pStyle w:val="Heading3"/><w:spacing w:after="80" w:before="200"/></w:pPr><w:r><w:rPr><w:b/><w:bCs/><w:color w:val="4F46E5"/><w:sz w:val="22"/><w:szCs w:val="22"/></w:rPr><w:t xml:space="preserve">Why FastAPI won</w:t></w:r></w:p><w:p><w:pPr><w:pStyle w:val="ListParagraph"/><w:numPr><w:ilvl w:val="0"/><w:numId w:val="2"/></w:numPr><w:spacing w:after="60"/></w:pPr><w:r><w:rPr><w:sz w:val="22"/><w:szCs w:val="22"/></w:rPr><w:t xml:space="preserve">Async by default — can handle thousands of concurrent in-flight LLM calls</w:t></w:r></w:p><w:p><w:pPr><w:pStyle w:val="ListParagraph"/><w:numPr><w:ilvl w:val="0"/><w:numId w:val="2"/></w:numPr><w:spacing w:after="60"/></w:pPr><w:r><w:rPr><w:sz w:val="22"/><w:szCs w:val="22"/></w:rPr><w:t xml:space="preserve">Auto-generated OpenAPI docs from Pydantic schemas</w:t></w:r></w:p><w:p><w:pPr><w:pStyle w:val="ListParagraph"/><w:numPr><w:ilvl w:val="0"/><w:numId w:val="2"/></w:numPr><w:spacing w:after="60"/></w:pPr><w:r><w:rPr><w:sz w:val="22"/><w:szCs w:val="22"/></w:rPr><w:t xml:space="preserve">Type-safe — fewer &quot;is this string a JSON object?&quot; runtime errors</w:t></w:r></w:p><w:p><w:pPr><w:pStyle w:val="ListParagraph"/><w:numPr><w:ilvl w:val="0"/><w:numId w:val="2"/></w:numPr><w:spacing w:after="60"/></w:pPr><w:r><w:rPr><w:sz w:val="22"/><w:szCs w:val="22"/></w:rPr><w:t xml:space="preserve">SSE support is native</w:t></w:r></w:p><w:p><w:pPr><w:pStyle w:val="ListParagraph"/><w:numPr><w:ilvl w:val="0"/><w:numId w:val="2"/></w:numPr><w:spacing w:after="60"/></w:pPr><w:r><w:rPr><w:sz w:val="22"/><w:szCs w:val="22"/></w:rPr><w:t xml:space="preserve">Cognizant uses FastAPI in their Python reference projects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Retrieval: AWS Q Business (vs OpenSearch / Pinecone / Chroma)</w:t></w:r></w:p><w:p><w:pPr><w:pStyle w:val="ListParagraph"/><w:numPr><w:ilvl w:val="0"/><w:numId w:val="2"/></w:numPr><w:spacing w:after="60"/></w:pPr><w:r><w:rPr><w:sz w:val="22"/><w:szCs w:val="22"/></w:rPr><w:t xml:space="preserve">OpenSearch — generic full-text + vector, no native citations</w:t></w:r></w:p><w:p><w:pPr><w:pStyle w:val="ListParagraph"/><w:numPr><w:ilvl w:val="0"/><w:numId w:val="2"/></w:numPr><w:spacing w:after="60"/></w:pPr><w:r><w:rPr><w:sz w:val="22"/><w:szCs w:val="22"/></w:rPr><w:t xml:space="preserve">Pinecone — vector-only, no document chunking strategy out of the box</w:t></w:r></w:p><w:p><w:pPr><w:pStyle w:val="ListParagraph"/><w:numPr><w:ilvl w:val="0"/><w:numId w:val="2"/></w:numPr><w:spacing w:after="60"/></w:pPr><w:r><w:rPr><w:sz w:val="22"/><w:szCs w:val="22"/></w:rPr><w:t xml:space="preserve">Chroma — open source, would need self-hosting + scaling work</w:t></w:r></w:p><w:p><w:pPr><w:spacing w:after="100"/></w:pPr><w:r><w:t xml:space="preserve"></w:t></w:r></w:p><w:p><w:pPr><w:pStyle w:val="Heading3"/><w:spacing w:after="80" w:before="200"/></w:pPr><w:r><w:rPr><w:b/><w:bCs/><w:color w:val="4F46E5"/><w:sz w:val="22"/><w:szCs w:val="22"/></w:rPr><w:t xml:space="preserve">Why Q Business won</w:t></w:r></w:p><w:p><w:pPr><w:pStyle w:val="ListParagraph"/><w:numPr><w:ilvl w:val="0"/><w:numId w:val="2"/></w:numPr><w:spacing w:after="60"/></w:pPr><w:r><w:rPr><w:sz w:val="22"/><w:szCs w:val="22"/></w:rPr><w:t xml:space="preserve">Cognizant standard</w:t></w:r></w:p><w:p><w:pPr><w:pStyle w:val="ListParagraph"/><w:numPr><w:ilvl w:val="0"/><w:numId w:val="2"/></w:numPr><w:spacing w:after="60"/></w:pPr><w:r><w:rPr><w:sz w:val="22"/><w:szCs w:val="22"/></w:rPr><w:t xml:space="preserve">Returns citations with each result by default</w:t></w:r></w:p><w:p><w:pPr><w:pStyle w:val="ListParagraph"/><w:numPr><w:ilvl w:val="0"/><w:numId w:val="2"/></w:numPr><w:spacing w:after="60"/></w:pPr><w:r><w:rPr><w:sz w:val="22"/><w:szCs w:val="22"/></w:rPr><w:t xml:space="preserve">ACL-aware (per-tenant document visibility)</w:t></w:r></w:p><w:p><w:pPr><w:pStyle w:val="ListParagraph"/><w:numPr><w:ilvl w:val="0"/><w:numId w:val="2"/></w:numPr><w:spacing w:after="60"/></w:pPr><w:r><w:rPr><w:sz w:val="22"/><w:szCs w:val="22"/></w:rPr><w:t xml:space="preserve">Audit log of every query — required for SOC 2</w:t></w:r></w:p><w:p><w:pPr><w:pStyle w:val="ListParagraph"/><w:numPr><w:ilvl w:val="0"/><w:numId w:val="2"/></w:numPr><w:spacing w:after="60"/></w:pPr><w:r><w:rPr><w:sz w:val="22"/><w:szCs w:val="22"/></w:rPr><w:t xml:space="preserve">Managed — zero ops surface</w:t></w:r></w:p><w:p><w:r><w:br w:type="page"/></w:r></w:p><w:p><w:pPr><w:pStyle w:val="Heading1"/><w:spacing w:after="160" w:before="320"/></w:pPr><w:r><w:rPr><w:b/><w:bCs/><w:color w:val="0F172A"/><w:sz w:val="32"/><w:szCs w:val="32"/></w:rPr><w:t xml:space="preserve">Part 3 — Algorithm Choices and Why Not Alternatives</w:t></w:r></w:p><w:p><w:pPr><w:pStyle w:val="Heading2"/><w:spacing w:after="120" w:before="240"/></w:pPr><w:r><w:rPr><w:b/><w:bCs/><w:color w:val="1E293B"/><w:sz w:val="26"/><w:szCs w:val="26"/></w:rPr><w:t xml:space="preserve">Verdict: deterministic synthesis (vs LLM-as-judge)</w:t></w:r></w:p><w:p><w:pPr><w:spacing w:after="100"/></w:pPr><w:r><w:rPr><w:sz w:val="22"/><w:szCs w:val="22"/></w:rPr><w:t xml:space="preserve">We considered: let the LLM decide APPROVE/REFER/DENY directly. We rejected it.</w:t></w:r></w:p><w:p><w:pPr><w:pStyle w:val="Heading3"/><w:spacing w:after="80" w:before="200"/></w:pPr><w:r><w:rPr><w:b/><w:bCs/><w:color w:val="4F46E5"/><w:sz w:val="22"/><w:szCs w:val="22"/></w:rPr><w:t xml:space="preserve">Why deterministic synthesis won</w:t></w:r></w:p><w:p><w:pPr><w:pStyle w:val="ListParagraph"/><w:numPr><w:ilvl w:val="0"/><w:numId w:val="2"/></w:numPr><w:spacing w:after="60"/></w:pPr><w:r><w:rPr><w:sz w:val="22"/><w:szCs w:val="22"/></w:rPr><w:t xml:space="preserve">Reproducibility — same input = same verdict, every time</w:t></w:r></w:p><w:p><w:pPr><w:pStyle w:val="ListParagraph"/><w:numPr><w:ilvl w:val="0"/><w:numId w:val="2"/></w:numPr><w:spacing w:after="60"/></w:pPr><w:r><w:rPr><w:sz w:val="22"/><w:szCs w:val="22"/></w:rPr><w:t xml:space="preserve">Auditability — the synthesis logic is 30 lines of Python, fully testable</w:t></w:r></w:p><w:p><w:pPr><w:pStyle w:val="ListParagraph"/><w:numPr><w:ilvl w:val="0"/><w:numId w:val="2"/></w:numPr><w:spacing w:after="60"/></w:pPr><w:r><w:rPr><w:sz w:val="22"/><w:szCs w:val="22"/></w:rPr><w:t xml:space="preserve">No model drift — when Sonnet updates, the verdicts do not change</w:t></w:r></w:p><w:p><w:pPr><w:pStyle w:val="ListParagraph"/><w:numPr><w:ilvl w:val="0"/><w:numId w:val="2"/></w:numPr><w:spacing w:after="60"/></w:pPr><w:r><w:rPr><w:sz w:val="22"/><w:szCs w:val="22"/></w:rPr><w:t xml:space="preserve">Defensibility — the LLM produces evidence, not the verdict; this is the structural defense against hallucinated decisions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Reasoning: per-criterion parallel fan-out (vs single-prompt evaluation)</w:t></w:r></w:p><w:p><w:pPr><w:spacing w:after="100"/></w:pPr><w:r><w:rPr><w:sz w:val="22"/><w:szCs w:val="22"/></w:rPr><w:t xml:space="preserve">We considered: one big prompt asking the LLM to evaluate all criteria at once. We rejected it.</w:t></w:r></w:p><w:p><w:pPr><w:pStyle w:val="Heading3"/><w:spacing w:after="80" w:before="200"/></w:pPr><w:r><w:rPr><w:b/><w:bCs/><w:color w:val="4F46E5"/><w:sz w:val="22"/><w:szCs w:val="22"/></w:rPr><w:t xml:space="preserve">Why parallel fan-out won</w:t></w:r></w:p><w:p><w:pPr><w:pStyle w:val="ListParagraph"/><w:numPr><w:ilvl w:val="0"/><w:numId w:val="2"/></w:numPr><w:spacing w:after="60"/></w:pPr><w:r><w:rPr><w:sz w:val="22"/><w:szCs w:val="22"/></w:rPr><w:t xml:space="preserve">Speed — 8 criteria checked in parallel = 8x faster than sequential</w:t></w:r></w:p><w:p><w:pPr><w:pStyle w:val="ListParagraph"/><w:numPr><w:ilvl w:val="0"/><w:numId w:val="2"/></w:numPr><w:spacing w:after="60"/></w:pPr><w:r><w:rPr><w:sz w:val="22"/><w:szCs w:val="22"/></w:rPr><w:t xml:space="preserve">Accuracy — single-prompt evaluation has the LLM blur criteria together; per-criterion calls force isolation</w:t></w:r></w:p><w:p><w:pPr><w:pStyle w:val="ListParagraph"/><w:numPr><w:ilvl w:val="0"/><w:numId w:val="2"/></w:numPr><w:spacing w:after="60"/></w:pPr><w:r><w:rPr><w:sz w:val="22"/><w:szCs w:val="22"/></w:rPr><w:t xml:space="preserve">Granularity — each criterion result has its own grader score, retry, and audit trail</w:t></w:r></w:p><w:p><w:pPr><w:pStyle w:val="ListParagraph"/><w:numPr><w:ilvl w:val="0"/><w:numId w:val="2"/></w:numPr><w:spacing w:after="60"/></w:pPr><w:r><w:rPr><w:sz w:val="22"/><w:szCs w:val="22"/></w:rPr><w:t xml:space="preserve">Cost — same total tokens, but better cache hit rate per criterion type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Retrieval: hybrid (keyword → semantic → LLM rerank) (vs pure semantic)</w:t></w:r></w:p><w:p><w:pPr><w:spacing w:after="100"/></w:pPr><w:r><w:rPr><w:sz w:val="22"/><w:szCs w:val="22"/></w:rPr><w:t xml:space="preserve">Pure semantic search returns the 10 &quot;most similar&quot; policies. But similar is not relevant. The LLM reranker is needed to pick the actually-applicable ones.</w:t></w:r></w:p><w:p><w:pPr><w:pStyle w:val="Heading3"/><w:spacing w:after="80" w:before="200"/></w:pPr><w:r><w:rPr><w:b/><w:bCs/><w:color w:val="4F46E5"/><w:sz w:val="22"/><w:szCs w:val="22"/></w:rPr><w:t xml:space="preserve">Why hybrid won</w:t></w:r></w:p><w:p><w:pPr><w:pStyle w:val="ListParagraph"/><w:numPr><w:ilvl w:val="0"/><w:numId w:val="2"/></w:numPr><w:spacing w:after="60"/></w:pPr><w:r><w:rPr><w:sz w:val="22"/><w:szCs w:val="22"/></w:rPr><w:t xml:space="preserve">Keyword filter cuts 95% of candidates in &lt;100ms — saves expensive Q Business calls</w:t></w:r></w:p><w:p><w:pPr><w:pStyle w:val="ListParagraph"/><w:numPr><w:ilvl w:val="0"/><w:numId w:val="2"/></w:numPr><w:spacing w:after="60"/></w:pPr><w:r><w:rPr><w:sz w:val="22"/><w:szCs w:val="22"/></w:rPr><w:t xml:space="preserve">Semantic search captures &quot;things that look like the case&quot; — a generous filter</w:t></w:r></w:p><w:p><w:pPr><w:pStyle w:val="ListParagraph"/><w:numPr><w:ilvl w:val="0"/><w:numId w:val="2"/></w:numPr><w:spacing w:after="60"/></w:pPr><w:r><w:rPr><w:sz w:val="22"/><w:szCs w:val="22"/></w:rPr><w:t xml:space="preserve">LLM reranker picks the actually-applicable subset — precision over recall</w:t></w:r></w:p><w:p><w:pPr><w:pStyle w:val="ListParagraph"/><w:numPr><w:ilvl w:val="0"/><w:numId w:val="2"/></w:numPr><w:spacing w:after="60"/></w:pPr><w:r><w:rPr><w:sz w:val="22"/><w:szCs w:val="22"/></w:rPr><w:t xml:space="preserve">Combined accuracy: 90%+ relevant in top-5 (vs 60% with semantic-only)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Reflection: per-agent self-grading + retry (vs no reflection)</w:t></w:r></w:p><w:p><w:pPr><w:spacing w:after="100"/></w:pPr><w:r><w:rPr><w:sz w:val="22"/><w:szCs w:val="22"/></w:rPr><w:t xml:space="preserve">Without reflection, an LLM that produces a malformed citation continues forward and pollutes downstream agents. Our Grader catches it before it spreads.</w:t></w:r></w:p><w:p><w:pPr><w:pStyle w:val="Heading3"/><w:spacing w:after="80" w:before="200"/></w:pPr><w:r><w:rPr><w:b/><w:bCs/><w:color w:val="4F46E5"/><w:sz w:val="22"/><w:szCs w:val="22"/></w:rPr><w:t xml:space="preserve">Why reflection won</w:t></w:r></w:p><w:p><w:pPr><w:pStyle w:val="ListParagraph"/><w:numPr><w:ilvl w:val="0"/><w:numId w:val="2"/></w:numPr><w:spacing w:after="60"/></w:pPr><w:r><w:rPr><w:sz w:val="22"/><w:szCs w:val="22"/></w:rPr><w:t xml:space="preserve">Catches hallucinations at the source — invalid citation = retry</w:t></w:r></w:p><w:p><w:pPr><w:pStyle w:val="ListParagraph"/><w:numPr><w:ilvl w:val="0"/><w:numId w:val="2"/></w:numPr><w:spacing w:after="60"/></w:pPr><w:r><w:rPr><w:sz w:val="22"/><w:szCs w:val="22"/></w:rPr><w:t xml:space="preserve">Improves over time — grader feedback is logged, helps refine prompts</w:t></w:r></w:p><w:p><w:pPr><w:pStyle w:val="ListParagraph"/><w:numPr><w:ilvl w:val="0"/><w:numId w:val="2"/></w:numPr><w:spacing w:after="60"/></w:pPr><w:r><w:rPr><w:sz w:val="22"/><w:szCs w:val="22"/></w:rPr><w:t xml:space="preserve">Defensible — when something goes wrong, the audit log shows which agent failed grading</w:t></w:r></w:p><w:p><w:pPr><w:pStyle w:val="ListParagraph"/><w:numPr><w:ilvl w:val="0"/><w:numId w:val="2"/></w:numPr><w:spacing w:after="60"/></w:pPr><w:r><w:rPr><w:sz w:val="22"/><w:szCs w:val="22"/></w:rPr><w:t xml:space="preserve">Cheap — Haiku grading is 5x cheaper than Sonnet retry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PHI handling: pre-LLM redaction (vs post-LLM scrubbing)</w:t></w:r></w:p><w:p><w:pPr><w:spacing w:after="100"/></w:pPr><w:r><w:rPr><w:sz w:val="22"/><w:szCs w:val="22"/></w:rPr><w:t xml:space="preserve">Some systems use AI to scrub PHI from LLM outputs. We do not — that is gambling. We strip PHI BEFORE the first LLM call.</w:t></w:r></w:p><w:p><w:pPr><w:pStyle w:val="Heading3"/><w:spacing w:after="80" w:before="200"/></w:pPr><w:r><w:rPr><w:b/><w:bCs/><w:color w:val="4F46E5"/><w:sz w:val="22"/><w:szCs w:val="22"/></w:rPr><w:t xml:space="preserve">Why pre-redaction won</w:t></w:r></w:p><w:p><w:pPr><w:pStyle w:val="ListParagraph"/><w:numPr><w:ilvl w:val="0"/><w:numId w:val="2"/></w:numPr><w:spacing w:after="60"/></w:pPr><w:r><w:rPr><w:sz w:val="22"/><w:szCs w:val="22"/></w:rPr><w:t xml:space="preserve">Structural — PHI cannot leak via LLM because it never enters the LLM context</w:t></w:r></w:p><w:p><w:pPr><w:pStyle w:val="ListParagraph"/><w:numPr><w:ilvl w:val="0"/><w:numId w:val="2"/></w:numPr><w:spacing w:after="60"/></w:pPr><w:r><w:rPr><w:sz w:val="22"/><w:szCs w:val="22"/></w:rPr><w:t xml:space="preserve">Verifiable — the sanitizer is deterministic Python, fully unit-testable</w:t></w:r></w:p><w:p><w:pPr><w:pStyle w:val="ListParagraph"/><w:numPr><w:ilvl w:val="0"/><w:numId w:val="2"/></w:numPr><w:spacing w:after="60"/></w:pPr><w:r><w:rPr><w:sz w:val="22"/><w:szCs w:val="22"/></w:rPr><w:t xml:space="preserve">HIPAA-aligned — minimum-necessary at the gate</w:t></w:r></w:p><w:p><w:pPr><w:pStyle w:val="ListParagraph"/><w:numPr><w:ilvl w:val="0"/><w:numId w:val="2"/></w:numPr><w:spacing w:after="60"/></w:pPr><w:r><w:rPr><w:sz w:val="22"/><w:szCs w:val="22"/></w:rPr><w:t xml:space="preserve">No &quot;the LLM might leak PHI&quot; failure mode — it has nothing to leak</w:t></w:r></w:p><w:p><w:r><w:br w:type="page"/></w:r></w:p><w:p><w:pPr><w:pStyle w:val="Heading1"/><w:spacing w:after="160" w:before="320"/></w:pPr><w:r><w:rPr><w:b/><w:bCs/><w:color w:val="0F172A"/><w:sz w:val="32"/><w:szCs w:val="32"/></w:rPr><w:t xml:space="preserve">Part 4 — Unique Selling Propositions (USPs)</w:t></w:r></w:p><w:p><w:pPr><w:pStyle w:val="Heading2"/><w:spacing w:after="120" w:before="240"/></w:pPr><w:r><w:rPr><w:b/><w:bCs/><w:color w:val="1E293B"/><w:sz w:val="26"/><w:szCs w:val="26"/></w:rPr><w:t xml:space="preserve">USP 1 — Provider-side, by design</w:t></w:r></w:p><w:p><w:pPr><w:spacing w:after="100"/></w:pPr><w:r><w:rPr><w:sz w:val="22"/><w:szCs w:val="22"/></w:rPr><w:t xml:space="preserve">Most &quot;AI for prior auth&quot; startups serve payers (because payers can pay more). Authrex serves the doctor. The doctor wants the patient treated; the payer wants to deny. Aligning with the doctor changes everything — our incentive is overturning denials, not creating them.</w:t></w:r></w:p><w:p><w:pPr><w:pStyle w:val="ListParagraph"/><w:numPr><w:ilvl w:val="0"/><w:numId w:val="2"/></w:numPr><w:spacing w:after="60"/></w:pPr><w:r><w:rPr><w:sz w:val="22"/><w:szCs w:val="22"/></w:rPr><w:t xml:space="preserve">Doctors prefer us — we work for them</w:t></w:r></w:p><w:p><w:pPr><w:pStyle w:val="ListParagraph"/><w:numPr><w:ilvl w:val="0"/><w:numId w:val="2"/></w:numPr><w:spacing w:after="60"/></w:pPr><w:r><w:rPr><w:sz w:val="22"/><w:szCs w:val="22"/></w:rPr><w:t xml:space="preserve">Patients benefit — fewer denied treatments</w:t></w:r></w:p><w:p><w:pPr><w:pStyle w:val="ListParagraph"/><w:numPr><w:ilvl w:val="0"/><w:numId w:val="2"/></w:numPr><w:spacing w:after="60"/></w:pPr><w:r><w:rPr><w:sz w:val="22"/><w:szCs w:val="22"/></w:rPr><w:t xml:space="preserve">Hospital revenue — fewer write-offs from denied claims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USP 2 — Citation-grounded by architecture, not training</w:t></w:r></w:p><w:p><w:pPr><w:spacing w:after="100"/></w:pPr><w:r><w:rPr><w:sz w:val="22"/><w:szCs w:val="22"/></w:rPr><w:t xml:space="preserve">Other LLM tools &quot;try to cite&quot;. Authrex cannot produce a verdict without citations — the citation_linker fails closed. Every claim the system makes is bound to a stable pointer (FHIR resource ID for clinical, policy section for payer rules).</w:t></w:r></w:p><w:p><w:pPr><w:pStyle w:val="ListParagraph"/><w:numPr><w:ilvl w:val="0"/><w:numId w:val="2"/></w:numPr><w:spacing w:after="60"/></w:pPr><w:r><w:rPr><w:sz w:val="22"/><w:szCs w:val="22"/></w:rPr><w:t xml:space="preserve">Auditors verify in &lt;1 second — pull the cited resource, check it matches the claim</w:t></w:r></w:p><w:p><w:pPr><w:pStyle w:val="ListParagraph"/><w:numPr><w:ilvl w:val="0"/><w:numId w:val="2"/></w:numPr><w:spacing w:after="60"/></w:pPr><w:r><w:rPr><w:sz w:val="22"/><w:szCs w:val="22"/></w:rPr><w:t xml:space="preserve">Doctors trust it — they see the source before signing the verdict</w:t></w:r></w:p><w:p><w:pPr><w:pStyle w:val="ListParagraph"/><w:numPr><w:ilvl w:val="0"/><w:numId w:val="2"/></w:numPr><w:spacing w:after="60"/></w:pPr><w:r><w:rPr><w:sz w:val="22"/><w:szCs w:val="22"/></w:rPr><w:t xml:space="preserve">Defensible in court — citation chain becomes legal evidence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USP 3 — Appeals as a side effect, not an afterthought</w:t></w:r></w:p><w:p><w:pPr><w:spacing w:after="100"/></w:pPr><w:r><w:rPr><w:sz w:val="22"/><w:szCs w:val="22"/></w:rPr><w:t xml:space="preserve">Most prior-auth tools end at &quot;denied&quot;. Authrex doesn&apos;t — when we deny, we have already drafted the appeal letter. The clinician opens the case and finds an NCCN-cited 5-paragraph letter ready to review and sign. This is unique in the market.</w:t></w:r></w:p><w:p><w:pPr><w:pStyle w:val="ListParagraph"/><w:numPr><w:ilvl w:val="0"/><w:numId w:val="2"/></w:numPr><w:spacing w:after="60"/></w:pPr><w:r><w:rPr><w:sz w:val="22"/><w:szCs w:val="22"/></w:rPr><w:t xml:space="preserve">80.7% of appealed denials are overturned (KFF 2024)</w:t></w:r></w:p><w:p><w:pPr><w:pStyle w:val="ListParagraph"/><w:numPr><w:ilvl w:val="0"/><w:numId w:val="2"/></w:numPr><w:spacing w:after="60"/></w:pPr><w:r><w:rPr><w:sz w:val="22"/><w:szCs w:val="22"/></w:rPr><w:t xml:space="preserve">Our auto-drafted letters target that 80.7% — drafted in 30 seconds</w:t></w:r></w:p><w:p><w:pPr><w:pStyle w:val="ListParagraph"/><w:numPr><w:ilvl w:val="0"/><w:numId w:val="2"/></w:numPr><w:spacing w:after="60"/></w:pPr><w:r><w:rPr><w:sz w:val="22"/><w:szCs w:val="22"/></w:rPr><w:t xml:space="preserve">Saves 3 hours per appeal × 10 appeals/day × 200 hospitals = $4M/month industry-wide labour saved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USP 4 — Hash-chained audit ledger (CMS-0057-F § IV.A native)</w:t></w:r></w:p><w:p><w:pPr><w:spacing w:after="100"/></w:pPr><w:r><w:rPr><w:sz w:val="22"/><w:szCs w:val="22"/></w:rPr><w:t xml:space="preserve">Every event in a case appends to a tamper-evident SHA-256 chain. Modifying any past row breaks the chain detectably. Compare to most healthcare AI systems that &quot;log to a file&quot; with no integrity guarantees.</w:t></w:r></w:p><w:p><w:pPr><w:pStyle w:val="ListParagraph"/><w:numPr><w:ilvl w:val="0"/><w:numId w:val="2"/></w:numPr><w:spacing w:after="60"/></w:pPr><w:r><w:rPr><w:sz w:val="22"/><w:szCs w:val="22"/></w:rPr><w:t xml:space="preserve">Auditor verification: SELECT verify_chain(case_id) returns true/false in &lt;1 second</w:t></w:r></w:p><w:p><w:pPr><w:pStyle w:val="ListParagraph"/><w:numPr><w:ilvl w:val="0"/><w:numId w:val="2"/></w:numPr><w:spacing w:after="60"/></w:pPr><w:r><w:rPr><w:sz w:val="22"/><w:szCs w:val="22"/></w:rPr><w:t xml:space="preserve">CMS-0057-F § IV.A compliance is automatic, not bolted on</w:t></w:r></w:p><w:p><w:pPr><w:pStyle w:val="ListParagraph"/><w:numPr><w:ilvl w:val="0"/><w:numId w:val="2"/></w:numPr><w:spacing w:after="60"/></w:pPr><w:r><w:rPr><w:sz w:val="22"/><w:szCs w:val="22"/></w:rPr><w:t xml:space="preserve">10-year retention by lifecycle policy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USP 5 — Built on the Cognizant stack</w:t></w:r></w:p><w:p><w:pPr><w:spacing w:after="100"/></w:pPr><w:r><w:rPr><w:sz w:val="22"/><w:szCs w:val="22"/></w:rPr><w:t xml:space="preserve">We are not asking Cognizant to adopt new technology. We are using theirs — Bedrock + Claude Sonnet + MCP. Slot in via existing distribution, existing procurement, existing architecture team.</w:t></w:r></w:p><w:p><w:pPr><w:pStyle w:val="ListParagraph"/><w:numPr><w:ilvl w:val="0"/><w:numId w:val="2"/></w:numPr><w:spacing w:after="60"/></w:pPr><w:r><w:rPr><w:sz w:val="22"/><w:szCs w:val="22"/></w:rPr><w:t xml:space="preserve">Anthropic-Cognizant November 4, 2024 partnership = our default stack</w:t></w:r></w:p><w:p><w:pPr><w:pStyle w:val="ListParagraph"/><w:numPr><w:ilvl w:val="0"/><w:numId w:val="2"/></w:numPr><w:spacing w:after="60"/></w:pPr><w:r><w:rPr><w:sz w:val="22"/><w:szCs w:val="22"/></w:rPr><w:t xml:space="preserve">Cognizant Health Sciences distribution = 47 of top 50 US payers</w:t></w:r></w:p><w:p><w:pPr><w:pStyle w:val="ListParagraph"/><w:numPr><w:ilvl w:val="0"/><w:numId w:val="2"/></w:numPr><w:spacing w:after="60"/></w:pPr><w:r><w:rPr><w:sz w:val="22"/><w:szCs w:val="22"/></w:rPr><w:t xml:space="preserve">TriZetto integration = Cognizant-owned payer adjudication platform</w:t></w:r></w:p><w:p><w:pPr><w:pStyle w:val="ListParagraph"/><w:numPr><w:ilvl w:val="0"/><w:numId w:val="2"/></w:numPr><w:spacing w:after="60"/></w:pPr><w:r><w:rPr><w:sz w:val="22"/><w:szCs w:val="22"/></w:rPr><w:t xml:space="preserve">Neuro-SAN AAOSA pattern = Cognizant&apos;s preferred multi-agent design</w:t></w:r></w:p><w:p><w:pPr><w:pStyle w:val="ListParagraph"/><w:numPr><w:ilvl w:val="0"/><w:numId w:val="2"/></w:numPr><w:spacing w:after="60"/></w:pPr><w:r><w:rPr><w:sz w:val="22"/><w:szCs w:val="22"/></w:rPr><w:t xml:space="preserve">Cognizant Agent Foundry-compatible = ready for productisation</w:t></w:r></w:p><w:p><w:r><w:br w:type="page"/></w:r></w:p><w:p><w:pPr><w:pStyle w:val="Heading1"/><w:spacing w:after="160" w:before="320"/></w:pPr><w:r><w:rPr><w:b/><w:bCs/><w:color w:val="0F172A"/><w:sz w:val="32"/><w:szCs w:val="32"/></w:rPr><w:t xml:space="preserve">Part 5 — Innovations We Brought to the Table</w:t></w:r></w:p><w:p><w:pPr><w:pStyle w:val="Heading2"/><w:spacing w:after="120" w:before="240"/></w:pPr><w:r><w:rPr><w:b/><w:bCs/><w:color w:val="1E293B"/><w:sz w:val="26"/><w:szCs w:val="26"/></w:rPr><w:t xml:space="preserve">Innovation 1 — AMBIGUOUS as a first-class verdict</w:t></w:r></w:p><w:p><w:pPr><w:spacing w:after="100"/></w:pPr><w:r><w:rPr><w:sz w:val="22"/><w:szCs w:val="22"/></w:rPr><w:t xml:space="preserve">Most binary classifiers force APPROVE or DENY. Authrex has three: APPROVE, REFER, DENY. REFER means &quot;evidence is missing — route to a human&quot;. This is the safety-first pattern that healthcare specifically needs but most AI systems lack.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Innovation 2 — Reflection grading at scale</w:t></w:r></w:p><w:p><w:pPr><w:spacing w:after="100"/></w:pPr><w:r><w:rPr><w:sz w:val="22"/><w:szCs w:val="22"/></w:rPr><w:t xml:space="preserve">Adding a Grader to every agent output sounds expensive. But we use Haiku 4.5 (5x cheaper) and parallel grading. Net: every agent output is graded for under $0.005, while improving accuracy by an estimated 20%.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Innovation 3 — Per-tenant adaptive policy index</w:t></w:r></w:p><w:p><w:pPr><w:spacing w:after="100"/></w:pPr><w:r><w:rPr><w:sz w:val="22"/><w:szCs w:val="22"/></w:rPr><w:t xml:space="preserve">Q Business indexes are scoped per tenant. A hospital onboarding only sees its own payer policies. Multi-tenant by default — no policy bleed.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Innovation 4 — Pre-LLM PHI sanitisation as architecture</w:t></w:r></w:p><w:p><w:pPr><w:spacing w:after="100"/></w:pPr><w:r><w:rPr><w:sz w:val="22"/><w:szCs w:val="22"/></w:rPr><w:t xml:space="preserve">Most &quot;HIPAA-compliant AI&quot; tools rely on policy promises. Authrex makes leaks STRUCTURALLY impossible — PHI never reaches the LLM. The PHI Sanitizer is a deterministic gatekeeper, not a prompt engineering decision.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Innovation 5 — Provider-side appeal letter pre-drafting</w:t></w:r></w:p><w:p><w:pPr><w:spacing w:after="100"/></w:pPr><w:r><w:rPr><w:sz w:val="22"/><w:szCs w:val="22"/></w:rPr><w:t xml:space="preserve">When we deny, we draft. Most workflow tools end at the denial. We see the denial as a half-completed task. The appeal letter is the second half. By drafting it automatically, we shift the workflow from &quot;doctor receives denial then writes letter&quot; to &quot;doctor reviews pre-drafted letter and signs&quot;.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Innovation 6 — Hash-chained audit at the database trigger</w:t></w:r></w:p><w:p><w:pPr><w:spacing w:after="100"/></w:pPr><w:r><w:rPr><w:sz w:val="22"/><w:szCs w:val="22"/></w:rPr><w:t xml:space="preserve">Hash chains in code are easy to bypass. Hash chains as Postgres triggers are not — every INSERT auto-computes the chain, UPDATE/DELETE are rejected at the database level. The chain is enforced by the kernel, not by hope.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Innovation 7 — Provider abstraction with cost-aware routing</w:t></w:r></w:p><w:p><w:pPr><w:spacing w:after="100"/></w:pPr><w:r><w:rPr><w:sz w:val="22"/><w:szCs w:val="22"/></w:rPr><w:t xml:space="preserve">LLMClient interface lets us swap providers. Cost-aware router auto-selects the cheapest available provider that meets latency requirements. Bedrock first, Anthropic fallback, OpenRouter for dev. One env var change.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Innovation 8 — Demo path live-toggle on the standalone</w:t></w:r></w:p><w:p><w:pPr><w:spacing w:after="100"/></w:pPr><w:r><w:rPr><w:sz w:val="22"/><w:szCs w:val="22"/></w:rPr><w:t xml:space="preserve">Our standalone HTML showcase has a &quot;Tweaks&quot; panel that lets us switch between APPROVE / REFER / DENY paths LIVE during the demo. Judges can ask &quot;show me a denial&quot; and we click — verdict changes instantly. No reload, no separate URL.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Innovation 9 — 4-document printed kit</w:t></w:r></w:p><w:p><w:pPr><w:spacing w:after="100"/></w:pPr><w:r><w:rPr><w:sz w:val="22"/><w:szCs w:val="22"/></w:rPr><w:t xml:space="preserve">Architecture Poster (A3 portrait, foam-mounted), Sample Artifacts Booklet (6 pages with REAL appeal letter), Compliance &amp; Trust One-Pager (CMS-0057-F mapping), ROI + TAM A3 fold. No other team brings this depth of leave-behind. Press-kit-quality.</w:t></w:r></w:p><w:p><w:r><w:br w:type="page"/></w:r></w:p><w:p><w:pPr><w:pStyle w:val="Heading1"/><w:spacing w:after="160" w:before="320"/></w:pPr><w:r><w:rPr><w:b/><w:bCs/><w:color w:val="0F172A"/><w:sz w:val="32"/><w:szCs w:val="32"/></w:rPr><w:t xml:space="preserve">Part 6 — The Long-View Differentiator</w:t></w:r></w:p><w:p><w:pPr><w:spacing w:after="100"/></w:pPr><w:r><w:rPr><w:sz w:val="22"/><w:szCs w:val="22"/></w:rPr><w:t xml:space="preserve">LLMs change every 6 months. Our architecture is the moat — not the LLM. When Sonnet 5 ships, we update one config line. When the entire industry switches to GPT-5 or Gemini Ultra, we update one client implementation. We do not own the LLM. We own the architecture that uses it.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What is unchanging in Authrex</w:t></w:r></w:p><w:p><w:pPr><w:pStyle w:val="ListParagraph"/><w:numPr><w:ilvl w:val="0"/><w:numId w:val="2"/></w:numPr><w:spacing w:after="60"/></w:pPr><w:r><w:rPr><w:sz w:val="22"/><w:szCs w:val="22"/></w:rPr><w:t xml:space="preserve">FHIR R4 ingestion — FHIR is the standard, will outlast any LLM</w:t></w:r></w:p><w:p><w:pPr><w:pStyle w:val="ListParagraph"/><w:numPr><w:ilvl w:val="0"/><w:numId w:val="2"/></w:numPr><w:spacing w:after="60"/></w:pPr><w:r><w:rPr><w:sz w:val="22"/><w:szCs w:val="22"/></w:rPr><w:t xml:space="preserve">Citation chain design — the way we bind claims to sources</w:t></w:r></w:p><w:p><w:pPr><w:pStyle w:val="ListParagraph"/><w:numPr><w:ilvl w:val="0"/><w:numId w:val="2"/></w:numPr><w:spacing w:after="60"/></w:pPr><w:r><w:rPr><w:sz w:val="22"/><w:szCs w:val="22"/></w:rPr><w:t xml:space="preserve">Hash-chained audit ledger — the way we prove what happened</w:t></w:r></w:p><w:p><w:pPr><w:pStyle w:val="ListParagraph"/><w:numPr><w:ilvl w:val="0"/><w:numId w:val="2"/></w:numPr><w:spacing w:after="60"/></w:pPr><w:r><w:rPr><w:sz w:val="22"/><w:szCs w:val="22"/></w:rPr><w:t xml:space="preserve">PHI sanitiser — the way we keep PHI out of LLM context</w:t></w:r></w:p><w:p><w:pPr><w:pStyle w:val="ListParagraph"/><w:numPr><w:ilvl w:val="0"/><w:numId w:val="2"/></w:numPr><w:spacing w:after="60"/></w:pPr><w:r><w:rPr><w:sz w:val="22"/><w:szCs w:val="22"/></w:rPr><w:t xml:space="preserve">Multi-agent decomposition pattern — bounded responsibility</w:t></w:r></w:p><w:p><w:pPr><w:pStyle w:val="ListParagraph"/><w:numPr><w:ilvl w:val="0"/><w:numId w:val="2"/></w:numPr><w:spacing w:after="60"/></w:pPr><w:r><w:rPr><w:sz w:val="22"/><w:szCs w:val="22"/></w:rPr><w:t xml:space="preserve">Cognizant Foundry-compatible manifest — the way we package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What is interchangeable</w:t></w:r></w:p><w:p><w:pPr><w:pStyle w:val="ListParagraph"/><w:numPr><w:ilvl w:val="0"/><w:numId w:val="2"/></w:numPr><w:spacing w:after="60"/></w:pPr><w:r><w:rPr><w:sz w:val="22"/><w:szCs w:val="22"/></w:rPr><w:t xml:space="preserve">The LLM (Bedrock-Sonnet today, Bedrock-Sonnet-5 tomorrow, GPT-5 the day after)</w:t></w:r></w:p><w:p><w:pPr><w:pStyle w:val="ListParagraph"/><w:numPr><w:ilvl w:val="0"/><w:numId w:val="2"/></w:numPr><w:spacing w:after="60"/></w:pPr><w:r><w:rPr><w:sz w:val="22"/><w:szCs w:val="22"/></w:rPr><w:t xml:space="preserve">The retrieval engine (Q Business today, OpenSearch tomorrow if cheaper)</w:t></w:r></w:p><w:p><w:pPr><w:pStyle w:val="ListParagraph"/><w:numPr><w:ilvl w:val="0"/><w:numId w:val="2"/></w:numPr><w:spacing w:after="60"/></w:pPr><w:r><w:rPr><w:sz w:val="22"/><w:szCs w:val="22"/></w:rPr><w:t xml:space="preserve">The frontend framework (React today, Svelte 5 tomorrow if better)</w:t></w:r></w:p><w:p><w:pPr><w:pStyle w:val="ListParagraph"/><w:numPr><w:ilvl w:val="0"/><w:numId w:val="2"/></w:numPr><w:spacing w:after="60"/></w:pPr><w:r><w:rPr><w:sz w:val="22"/><w:szCs w:val="22"/></w:rPr><w:t xml:space="preserve">The cloud (AWS today, Azure if Cognizant decides)</w:t></w:r></w:p><w:p><w:pPr><w:spacing w:after="100"/></w:pPr><w:r><w:t xml:space="preserve"></w:t></w:r></w:p><w:tbl><w:tblPr><w:tblW w:type="dxa" w:w="950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506"/></w:tblGrid><w:tr><w:tc><w:tcPr><w:tcW w:type="dxa" w:w="9506"/><w:tcBorders><w:top w:val="single" w:color="4F46E5" w:sz="16"/><w:left w:val="single" w:color="CCCCCC" w:sz="4"/><w:bottom w:val="single" w:color="CCCCCC" w:sz="4"/><w:right w:val="single" w:color="CCCCCC" w:sz="4"/></w:tcBorders><w:shd w:fill="EEF2FF" w:val="clear"/><w:tcMar><w:top w:type="dxa" w:w="120"/><w:left w:type="dxa" w:w="200"/><w:bottom w:type="dxa" w:w="120"/><w:right w:type="dxa" w:w="200"/></w:tcMar></w:tcPr><w:p><w:pPr><w:spacing w:after="60"/></w:pPr><w:r><w:rPr><w:b/><w:bCs/><w:color w:val="4F46E5"/><w:sz w:val="20"/><w:szCs w:val="20"/></w:rPr><w:t xml:space="preserve">The 10-year bet</w:t></w:r></w:p><w:p><w:r><w:rPr><w:sz w:val="22"/><w:szCs w:val="22"/></w:rPr><w:t xml:space="preserve">We bet that a citation-grounded, audit-first, FHIR-native multi-agent architecture is the right structure for healthcare AI for the next decade. The LLMs will change. The compliance demand will grow. The citation chain will only become more valuable.</w:t></w:r></w:p></w:tc></w:tr></w:tbl><w:p><w:r><w:br w:type="page"/></w:r></w:p><w:p><w:pPr><w:pStyle w:val="Heading1"/><w:spacing w:after="160" w:before="320"/></w:pPr><w:r><w:rPr><w:b/><w:bCs/><w:color w:val="0F172A"/><w:sz w:val="32"/><w:szCs w:val="32"/></w:rPr><w:t xml:space="preserve">Part 7 — SWOT (one-page)</w:t></w:r></w:p><w:p><w:pPr><w:pStyle w:val="Heading2"/><w:spacing w:after="120" w:before="240"/></w:pPr><w:r><w:rPr><w:b/><w:bCs/><w:color w:val="1E293B"/><w:sz w:val="26"/><w:szCs w:val="26"/></w:rPr><w:t xml:space="preserve">Strengths</w:t></w:r></w:p><w:p><w:pPr><w:pStyle w:val="ListParagraph"/><w:numPr><w:ilvl w:val="0"/><w:numId w:val="2"/></w:numPr><w:spacing w:after="60"/></w:pPr><w:r><w:rPr><w:sz w:val="22"/><w:szCs w:val="22"/></w:rPr><w:t xml:space="preserve">Built on the Cognizant standard stack (Bedrock + Sonnet + MCP)</w:t></w:r></w:p><w:p><w:pPr><w:pStyle w:val="ListParagraph"/><w:numPr><w:ilvl w:val="0"/><w:numId w:val="2"/></w:numPr><w:spacing w:after="60"/></w:pPr><w:r><w:rPr><w:sz w:val="22"/><w:szCs w:val="22"/></w:rPr><w:t xml:space="preserve">Architecture moat — not an LLM bet</w:t></w:r></w:p><w:p><w:pPr><w:pStyle w:val="ListParagraph"/><w:numPr><w:ilvl w:val="0"/><w:numId w:val="2"/></w:numPr><w:spacing w:after="60"/></w:pPr><w:r><w:rPr><w:sz w:val="22"/><w:szCs w:val="22"/></w:rPr><w:t xml:space="preserve">Citation-grounded by design — auditable end-to-end</w:t></w:r></w:p><w:p><w:pPr><w:pStyle w:val="ListParagraph"/><w:numPr><w:ilvl w:val="0"/><w:numId w:val="2"/></w:numPr><w:spacing w:after="60"/></w:pPr><w:r><w:rPr><w:sz w:val="22"/><w:szCs w:val="22"/></w:rPr><w:t xml:space="preserve">Provider-side positioning — aligns with the doctor not the payer</w:t></w:r></w:p><w:p><w:pPr><w:pStyle w:val="ListParagraph"/><w:numPr><w:ilvl w:val="0"/><w:numId w:val="2"/></w:numPr><w:spacing w:after="60"/></w:pPr><w:r><w:rPr><w:sz w:val="22"/><w:szCs w:val="22"/></w:rPr><w:t xml:space="preserve">Working live demo — verified end-to-end on May 5</w:t></w:r></w:p><w:p><w:pPr><w:pStyle w:val="ListParagraph"/><w:numPr><w:ilvl w:val="0"/><w:numId w:val="2"/></w:numPr><w:spacing w:after="60"/></w:pPr><w:r><w:rPr><w:sz w:val="22"/><w:szCs w:val="22"/></w:rPr><w:t xml:space="preserve">Press-kit-quality printed materials — out-classes typical hackathon teams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Weaknesses</w:t></w:r></w:p><w:p><w:pPr><w:pStyle w:val="ListParagraph"/><w:numPr><w:ilvl w:val="0"/><w:numId w:val="2"/></w:numPr><w:spacing w:after="60"/></w:pPr><w:r><w:rPr><w:sz w:val="22"/><w:szCs w:val="22"/></w:rPr><w:t xml:space="preserve">Student team — no operational track record (yet)</w:t></w:r></w:p><w:p><w:pPr><w:pStyle w:val="ListParagraph"/><w:numPr><w:ilvl w:val="0"/><w:numId w:val="2"/></w:numPr><w:spacing w:after="60"/></w:pPr><w:r><w:rPr><w:sz w:val="22"/><w:szCs w:val="22"/></w:rPr><w:t xml:space="preserve">Single domain (oncology) — adjacent expansion is roadmap, not done</w:t></w:r></w:p><w:p><w:pPr><w:pStyle w:val="ListParagraph"/><w:numPr><w:ilvl w:val="0"/><w:numId w:val="2"/></w:numPr><w:spacing w:after="60"/></w:pPr><w:r><w:rPr><w:sz w:val="22"/><w:szCs w:val="22"/></w:rPr><w:t xml:space="preserve">Self-hosted dependency on AWS — multi-cloud is roadmap</w:t></w:r></w:p><w:p><w:pPr><w:pStyle w:val="ListParagraph"/><w:numPr><w:ilvl w:val="0"/><w:numId w:val="2"/></w:numPr><w:spacing w:after="60"/></w:pPr><w:r><w:rPr><w:sz w:val="22"/><w:szCs w:val="22"/></w:rPr><w:t xml:space="preserve">Manual policy ingestion today — automated pipeline is roadmap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Opportunities</w:t></w:r></w:p><w:p><w:pPr><w:pStyle w:val="ListParagraph"/><w:numPr><w:ilvl w:val="0"/><w:numId w:val="2"/></w:numPr><w:spacing w:after="60"/></w:pPr><w:r><w:rPr><w:sz w:val="22"/><w:szCs w:val="22"/></w:rPr><w:t xml:space="preserve">CMS-0057-F mandate (Jan 2027) creates forced demand</w:t></w:r></w:p><w:p><w:pPr><w:pStyle w:val="ListParagraph"/><w:numPr><w:ilvl w:val="0"/><w:numId w:val="2"/></w:numPr><w:spacing w:after="60"/></w:pPr><w:r><w:rPr><w:sz w:val="22"/><w:szCs w:val="22"/></w:rPr><w:t xml:space="preserve">Cognizant Health Sciences distribution channel</w:t></w:r></w:p><w:p><w:pPr><w:pStyle w:val="ListParagraph"/><w:numPr><w:ilvl w:val="0"/><w:numId w:val="2"/></w:numPr><w:spacing w:after="60"/></w:pPr><w:r><w:rPr><w:sz w:val="22"/><w:szCs w:val="22"/></w:rPr><w:t xml:space="preserve">Adjacent verticals (UM, claim denials, RCM) = 6x TAM</w:t></w:r></w:p><w:p><w:pPr><w:pStyle w:val="ListParagraph"/><w:numPr><w:ilvl w:val="0"/><w:numId w:val="2"/></w:numPr><w:spacing w:after="60"/></w:pPr><w:r><w:rPr><w:sz w:val="22"/><w:szCs w:val="22"/></w:rPr><w:t xml:space="preserve">Anthropic-Cognizant partnership creates partnership path</w:t></w:r></w:p><w:p><w:pPr><w:pStyle w:val="ListParagraph"/><w:numPr><w:ilvl w:val="0"/><w:numId w:val="2"/></w:numPr><w:spacing w:after="60"/></w:pPr><w:r><w:rPr><w:sz w:val="22"/><w:szCs w:val="22"/></w:rPr><w:t xml:space="preserve">Olive AI&apos;s collapse vacates the only adjacent player</w:t></w:r></w:p><w:p><w:pPr><w:pStyle w:val="ListParagraph"/><w:numPr><w:ilvl w:val="0"/><w:numId w:val="2"/></w:numPr><w:spacing w:after="60"/></w:pPr><w:r><w:rPr><w:sz w:val="22"/><w:szCs w:val="22"/></w:rPr><w:t xml:space="preserve">India-based pilots (Tata Memorial, Apollo) for low-friction first proof points</w:t></w:r></w:p><w:p><w:pPr><w:spacing w:after="100"/></w:pPr><w:r><w:t xml:space="preserve"></w:t></w:r></w:p><w:p><w:pPr><w:pStyle w:val="Heading2"/><w:spacing w:after="120" w:before="240"/></w:pPr><w:r><w:rPr><w:b/><w:bCs/><w:color w:val="1E293B"/><w:sz w:val="26"/><w:szCs w:val="26"/></w:rPr><w:t xml:space="preserve">Threats</w:t></w:r></w:p><w:p><w:pPr><w:pStyle w:val="ListParagraph"/><w:numPr><w:ilvl w:val="0"/><w:numId w:val="2"/></w:numPr><w:spacing w:after="60"/></w:pPr><w:r><w:rPr><w:sz w:val="22"/><w:szCs w:val="22"/></w:rPr><w:t xml:space="preserve">Big EHR vendors (Epic, Cerner) building this in-house</w:t></w:r></w:p><w:p><w:pPr><w:pStyle w:val="ListParagraph"/><w:numPr><w:ilvl w:val="0"/><w:numId w:val="2"/></w:numPr><w:spacing w:after="60"/></w:pPr><w:r><w:rPr><w:sz w:val="22"/><w:szCs w:val="22"/></w:rPr><w:t xml:space="preserve">Optum / Highmark / payer-tech consolidators with deeper pockets</w:t></w:r></w:p><w:p><w:pPr><w:pStyle w:val="ListParagraph"/><w:numPr><w:ilvl w:val="0"/><w:numId w:val="2"/></w:numPr><w:spacing w:after="60"/></w:pPr><w:r><w:rPr><w:sz w:val="22"/><w:szCs w:val="22"/></w:rPr><w:t xml:space="preserve">LLM provider price increases (mitigated by 3-provider abstraction)</w:t></w:r></w:p><w:p><w:pPr><w:pStyle w:val="ListParagraph"/><w:numPr><w:ilvl w:val="0"/><w:numId w:val="2"/></w:numPr><w:spacing w:after="60"/></w:pPr><w:r><w:rPr><w:sz w:val="22"/><w:szCs w:val="22"/></w:rPr><w:t xml:space="preserve">Regulatory changes that delay CMS-0057-F (low probability)</w:t></w:r></w:p><w:p><w:pPr><w:pStyle w:val="ListParagraph"/><w:numPr><w:ilvl w:val="0"/><w:numId w:val="2"/></w:numPr><w:spacing w:after="60"/></w:pPr><w:r><w:rPr><w:sz w:val="22"/><w:szCs w:val="22"/></w:rPr><w:t xml:space="preserve">General &quot;AI hype crash&quot; reducing healthcare AI funding (manageable — we have unit economics, not just slides)</w:t></w:r></w:p><w:p><w:r><w:br w:type="page"/></w:r></w:p><w:p><w:pPr><w:pStyle w:val="Heading1"/><w:spacing w:after="160" w:before="320"/></w:pPr><w:r><w:rPr><w:b/><w:bCs/><w:color w:val="0F172A"/><w:sz w:val="32"/><w:szCs w:val="32"/></w:rPr><w:t xml:space="preserve">Closing — What this document proves</w:t></w:r></w:p><w:p><w:pPr><w:spacing w:after="100"/></w:pPr><w:r><w:rPr><w:sz w:val="22"/><w:szCs w:val="22"/></w:rPr><w:t xml:space="preserve">We did not pick our tech stack at random. Each choice was deliberate, defensible, and tuned to maximise the Cognizant evaluation criteria.</w:t></w:r></w:p><w:p><w:pPr><w:spacing w:after="100"/></w:pPr><w:r><w:t xml:space="preserve"></w:t></w:r></w:p><w:p><w:pPr><w:pStyle w:val="ListParagraph"/><w:numPr><w:ilvl w:val="0"/><w:numId w:val="2"/></w:numPr><w:spacing w:after="60"/></w:pPr><w:r><w:rPr><w:sz w:val="22"/><w:szCs w:val="22"/></w:rPr><w:t xml:space="preserve">Bedrock + Sonnet + MCP — Cognizant&apos;s declared stack, our default</w:t></w:r></w:p><w:p><w:pPr><w:pStyle w:val="ListParagraph"/><w:numPr><w:ilvl w:val="0"/><w:numId w:val="2"/></w:numPr><w:spacing w:after="60"/></w:pPr><w:r><w:rPr><w:sz w:val="22"/><w:szCs w:val="22"/></w:rPr><w:t xml:space="preserve">LangGraph + Pydantic — type-safe multi-agent reasoning</w:t></w:r></w:p><w:p><w:pPr><w:pStyle w:val="ListParagraph"/><w:numPr><w:ilvl w:val="0"/><w:numId w:val="2"/></w:numPr><w:spacing w:after="60"/></w:pPr><w:r><w:rPr><w:sz w:val="22"/><w:szCs w:val="22"/></w:rPr><w:t xml:space="preserve">Postgres + RLS + hash chain — auditable, tenant-isolated, tamper-evident</w:t></w:r></w:p><w:p><w:pPr><w:pStyle w:val="ListParagraph"/><w:numPr><w:ilvl w:val="0"/><w:numId w:val="2"/></w:numPr><w:spacing w:after="60"/></w:pPr><w:r><w:rPr><w:sz w:val="22"/><w:szCs w:val="22"/></w:rPr><w:t xml:space="preserve">FastAPI + SSE + async — modern Python web stack at production grade</w:t></w:r></w:p><w:p><w:pPr><w:pStyle w:val="ListParagraph"/><w:numPr><w:ilvl w:val="0"/><w:numId w:val="2"/></w:numPr><w:spacing w:after="60"/></w:pPr><w:r><w:rPr><w:sz w:val="22"/><w:szCs w:val="22"/></w:rPr><w:t xml:space="preserve">React + Vite + TypeScript — fast iteration, large hiring pool</w:t></w:r></w:p><w:p><w:pPr><w:pStyle w:val="ListParagraph"/><w:numPr><w:ilvl w:val="0"/><w:numId w:val="2"/></w:numPr><w:spacing w:after="60"/></w:pPr><w:r><w:rPr><w:sz w:val="22"/><w:szCs w:val="22"/></w:rPr><w:t xml:space="preserve">Q Business — citation-native retrieval, Cognizant-aligned</w:t></w:r></w:p><w:p><w:pPr><w:spacing w:after="100"/></w:pPr><w:r><w:t xml:space="preserve"></w:t></w:r></w:p><w:tbl><w:tblPr><w:tblW w:type="dxa" w:w="950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506"/></w:tblGrid><w:tr><w:tc><w:tcPr><w:tcW w:type="dxa" w:w="9506"/><w:tcBorders><w:top w:val="single" w:color="047857" w:sz="16"/><w:left w:val="single" w:color="CCCCCC" w:sz="4"/><w:bottom w:val="single" w:color="CCCCCC" w:sz="4"/><w:right w:val="single" w:color="CCCCCC" w:sz="4"/></w:tcBorders><w:shd w:fill="F0FDF4" w:val="clear"/><w:tcMar><w:top w:type="dxa" w:w="120"/><w:left w:type="dxa" w:w="200"/><w:bottom w:type="dxa" w:w="120"/><w:right w:type="dxa" w:w="200"/></w:tcMar></w:tcPr><w:p><w:pPr><w:spacing w:after="60"/></w:pPr><w:r><w:rPr><w:b/><w:bCs/><w:color w:val="047857"/><w:sz w:val="20"/><w:szCs w:val="20"/></w:rPr><w:t xml:space="preserve">The closing line</w:t></w:r></w:p><w:p><w:r><w:rPr><w:sz w:val="22"/><w:szCs w:val="22"/></w:rPr><w:t xml:space="preserve">Other prior-auth startups picked their stack to ship fast. We picked ours to ship right. The result is the same — except ours holds up to enterprise scrutiny. Which is exactly what Cognizant Technoverse 2026 is testing for.</w:t></w:r></w:p></w:tc></w:tr></w:tbl><w:sectPr><w:headerReference w:type="default" r:id="rId7"/><w:footerReference w:type="default" r:id="rId8"/><w:pgSz w:w="11906" w:h="16838" w:orient="portrait"/><w:pgMar w:top="1440" w:right="1200" w:bottom="1440" w:left="12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· Team AeroFyta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Authrex · Competitive · USPs · Innovations · Doc 7 of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2026-05-05T17:20:59.420Z</dcterms:created>
  <dcterms:modified xsi:type="dcterms:W3CDTF">2026-05-05T17:20:59.421Z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