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GRT-TER-2026-002 · NEGOCIOS DE INNOVACIÓN FARMACÉUTICA, S.C.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256-265</w:t>
      </w:r>
    </w:p>
    <w:p>
      <w:r>
        <w:rPr>
          <w:b/>
          <w:bCs/>
        </w:rPr>
        <w:t xml:space="preserve">Área: </w:t>
      </w:r>
      <w:r>
        <w:t xml:space="preserve">COMEX</w:t>
      </w:r>
    </w:p>
    <w:p>
      <w:pPr>
        <w:pStyle w:val="Heading1"/>
      </w:pPr>
      <w:r>
        <w:t xml:space="preserve">Extracto individual</w:t>
      </w:r>
    </w:p>
    <w:p>
      <w:r>
        <w:t xml:space="preserve">NEGOCIOS DE INNOVACIÓN FARMACÉUTICA, S.C.</w:t>
      </w:r>
    </w:p>
    <w:p>
      <w:r>
        <w:t xml:space="preserve">Contrato de prestación de servicios especializados consistentes en prestar servicios legales, de consultoría, mercadotecnia, asesoría, marcas, inteligencia competitiva, capacitación, tramitación ante autoridades administrativas.</w:t>
      </w:r>
    </w:p>
    <w:p>
      <w:r>
        <w:t xml:space="preserve"> </w:t>
      </w:r>
    </w:p>
    <w:p>
      <w:r>
        <w:t xml:space="preserve">Remisión</w:t>
      </w:r>
    </w:p>
    <w:p>
      <w:r>
        <w:t xml:space="preserve">(1) Vigésima. Protección de Datos Personales</w:t>
      </w:r>
    </w:p>
    <w:p>
      <w:r>
        <w:t xml:space="preserve"> </w:t>
      </w:r>
    </w:p>
    <w:p>
      <w:r>
        <w:t xml:space="preserve">No Cumple</w:t>
      </w:r>
    </w:p>
    <w:p>
      <w:r>
        <w:t xml:space="preserve">Las cláusulas no cumplen con los requisitos de la LFPDPPP y su Reglamento.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2026-06-18T15:43:50.258Z</dcterms:created>
  <dcterms:modified xsi:type="dcterms:W3CDTF">2026-06-18T15:43:50.258Z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