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GRT-TER-2026-003 · INSTITUTO DE INVESTIGACIÓN E INNOVACIÓN FARMACÉUTICA, A.C. (INEFAM)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266-278</w:t>
      </w:r>
    </w:p>
    <w:p>
      <w:r>
        <w:rPr>
          <w:b/>
          <w:bCs/>
        </w:rPr>
        <w:t xml:space="preserve">Área: </w:t>
      </w:r>
      <w:r>
        <w:t xml:space="preserve">COMEX</w:t>
      </w:r>
    </w:p>
    <w:p>
      <w:pPr>
        <w:pStyle w:val="Heading1"/>
      </w:pPr>
      <w:r>
        <w:t xml:space="preserve">Extracto individual</w:t>
      </w:r>
    </w:p>
    <w:p>
      <w:r>
        <w:t xml:space="preserve">INSTITUTO DE INVESTIGACIÓN E</w:t>
      </w:r>
    </w:p>
    <w:p>
      <w:r>
        <w:t xml:space="preserve">INNOVACIÓN FARMACÉUTICA, A.C.</w:t>
      </w:r>
    </w:p>
    <w:p>
      <w:r>
        <w:t xml:space="preserve"> </w:t>
      </w:r>
    </w:p>
    <w:p>
      <w:r>
        <w:t xml:space="preserve">(INEFAM)</w:t>
      </w:r>
    </w:p>
    <w:p>
      <w:r>
        <w:t xml:space="preserve">Contrato de Prestación de Servicios en donde GRT se suscribe a la entrega por parte de INEFAM de reportes de varios tipos.</w:t>
      </w:r>
    </w:p>
    <w:p>
      <w:r>
        <w:t xml:space="preserve">Transferencias</w:t>
      </w:r>
    </w:p>
    <w:p>
      <w:r>
        <w:t xml:space="preserve"> </w:t>
      </w:r>
    </w:p>
    <w:p>
      <w:r>
        <w:t xml:space="preserve">(GRT como Responsable Receptor)</w:t>
      </w:r>
    </w:p>
    <w:p>
      <w:r>
        <w:t xml:space="preserve">(1) Vigésima. Protección de Datos Personales</w:t>
      </w:r>
    </w:p>
    <w:p>
      <w:r>
        <w:t xml:space="preserve">No Cumple</w:t>
      </w:r>
    </w:p>
    <w:p>
      <w:r>
        <w:t xml:space="preserve">La cláusula no cumple con los requisitos de la LFPDPPP.</w:t>
      </w:r>
    </w:p>
    <w:p>
      <w:r>
        <w:t xml:space="preserve"> </w:t>
      </w:r>
    </w:p>
    <w:p>
      <w:r>
        <w:t xml:space="preserve">En su lugar, se sugiere emplear la cláusula C2 del Manual de Relaciones con Terceros y/o en su caso, los apéndices 2 CM-2 o 3 C-2 del mismo donde el Responsable Receptor garantiza la legalidad de la transferencia de datos personales.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2026-06-18T15:43:50.263Z</dcterms:created>
  <dcterms:modified xsi:type="dcterms:W3CDTF">2026-06-18T15:43:50.263Z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