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GRT-TER-2026-004 · D&amp;MS DRUGS AND MARKETSHARE, S.C.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279-284</w:t>
      </w:r>
    </w:p>
    <w:p>
      <w:r>
        <w:rPr>
          <w:b/>
          <w:bCs/>
        </w:rPr>
        <w:t xml:space="preserve">Área: </w:t>
      </w:r>
      <w:r>
        <w:t xml:space="preserve">COMEX</w:t>
      </w:r>
    </w:p>
    <w:p>
      <w:pPr>
        <w:pStyle w:val="Heading1"/>
      </w:pPr>
      <w:r>
        <w:t xml:space="preserve">Extracto individual</w:t>
      </w:r>
    </w:p>
    <w:p>
      <w:r>
        <w:t xml:space="preserve">D&amp;MS DRUGS AND MARKETSHARE, S.C</w:t>
      </w:r>
    </w:p>
    <w:p>
      <w:r>
        <w:t xml:space="preserve">Contrato de prestación de servicios para la generación de un sistema de incentivos.</w:t>
      </w:r>
    </w:p>
    <w:p>
      <w:r>
        <w:t xml:space="preserve">No hay una comunicación de datos</w:t>
      </w:r>
    </w:p>
    <w:p>
      <w:r>
        <w:t xml:space="preserve">(1) Vigésima. Protección de Datos Personales</w:t>
      </w:r>
    </w:p>
    <w:p>
      <w:r>
        <w:t xml:space="preserve">Sí cumple</w:t>
      </w:r>
    </w:p>
    <w:p>
      <w:r>
        <w:t xml:space="preserve">La cláusula si cumplen con los requisitos de la LFPDPPP y su Reglamento.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2026-06-18T15:43:50.267Z</dcterms:created>
  <dcterms:modified xsi:type="dcterms:W3CDTF">2026-06-18T15:43:50.267Z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