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GRT-TER-2026-006 · CORAD MEETING PLANNER,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308-315</w:t>
      </w:r>
    </w:p>
    <w:p>
      <w:r>
        <w:rPr>
          <w:b/>
          <w:bCs/>
        </w:rPr>
        <w:t xml:space="preserve">Área: </w:t>
      </w:r>
      <w:r>
        <w:t xml:space="preserve">COMPRAS</w:t>
      </w:r>
    </w:p>
    <w:p>
      <w:pPr>
        <w:pStyle w:val="Heading1"/>
      </w:pPr>
      <w:r>
        <w:t xml:space="preserve">Extracto individual</w:t>
      </w:r>
    </w:p>
    <w:p>
      <w:r>
        <w:t xml:space="preserve">CORAD MEETING PLANNER, S.A. DE C.V.</w:t>
      </w:r>
    </w:p>
    <w:p>
      <w:r>
        <w:t xml:space="preserve">Contrato de prestación de servicios de operación de grupos, organización y administración de Congresos y Convenciones, transportadora ejecutiva, casa productora, agencia de viajes y otros</w:t>
      </w:r>
    </w:p>
    <w:p>
      <w:r>
        <w:t xml:space="preserve">Transferencia</w:t>
      </w:r>
    </w:p>
    <w:p>
      <w:r>
        <w:t xml:space="preserve">No se encontró cláusula relativa.</w:t>
      </w:r>
    </w:p>
    <w:p>
      <w:r>
        <w:t xml:space="preserve">N/A</w:t>
      </w:r>
    </w:p>
    <w:p>
      <w:r>
        <w:t xml:space="preserve">Las cláusulas no cumplen con los requisitos de la LFPDPPP</w:t>
      </w:r>
    </w:p>
    <w:p>
      <w:r>
        <w:t xml:space="preserve"> </w:t>
      </w:r>
    </w:p>
    <w:p>
      <w:r>
        <w:t xml:space="preserve">Se sugiere emplear la cláusula C2 del Manual de Relaciones con Terceros y/o en su caso, los apéndices 2 CM-2 o 3 C-2 del mismo donde se establece la relación entre las partes y sus obligaciones respectivas.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2026-06-18T15:43:50.276Z</dcterms:created>
  <dcterms:modified xsi:type="dcterms:W3CDTF">2026-06-18T15:43:50.276Z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