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GRT-TER-2026-009 · BESPOKE ADVERTISING,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342-349</w:t>
      </w:r>
    </w:p>
    <w:p>
      <w:r>
        <w:rPr>
          <w:b/>
          <w:bCs/>
        </w:rPr>
        <w:t xml:space="preserve">Área: </w:t>
      </w:r>
      <w:r>
        <w:t xml:space="preserve">DIGITAL</w:t>
      </w:r>
    </w:p>
    <w:p>
      <w:pPr>
        <w:pStyle w:val="Heading1"/>
      </w:pPr>
      <w:r>
        <w:t xml:space="preserve">Extracto individual</w:t>
      </w:r>
    </w:p>
    <w:p>
      <w:r>
        <w:t xml:space="preserve">BESPOKE ADVERTISING, S.A. DE C.V.</w:t>
      </w:r>
    </w:p>
    <w:p>
      <w:r>
        <w:t xml:space="preserve">Contrato de prestación de servicios de marketing y publicidad.</w:t>
      </w:r>
    </w:p>
    <w:p>
      <w:r>
        <w:t xml:space="preserve">Remisión</w:t>
      </w:r>
    </w:p>
    <w:p>
      <w:r>
        <w:t xml:space="preserve">(1) Vigésima Segunda. Protección de Datos Personales.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2026-06-18T15:43:50.289Z</dcterms:created>
  <dcterms:modified xsi:type="dcterms:W3CDTF">2026-06-18T15:43:50.289Z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