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GRT-TER-2026-012 · BACHER ZOPPI,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394-407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BACHER ZOPPI, S.A. DE C.V.</w:t>
      </w:r>
    </w:p>
    <w:p>
      <w:r>
        <w:t xml:space="preserve">Contrato de prestación de servicios especializados relacionados a recursos humanos.</w:t>
      </w:r>
    </w:p>
    <w:p>
      <w:r>
        <w:t xml:space="preserve">Remisión (respecto a la prestación de servicio del proveedor)</w:t>
      </w:r>
    </w:p>
    <w:p>
      <w:r>
        <w:t xml:space="preserve"> </w:t>
      </w:r>
    </w:p>
    <w:p>
      <w:r>
        <w:t xml:space="preserve">Transferencia (respecto a la información de los trabajadores del prestador de servicio que son comunicados a GRT)</w:t>
      </w:r>
    </w:p>
    <w:p>
      <w:r>
        <w:t xml:space="preserve">Vigésima. Protección de Datos Personales</w:t>
      </w:r>
    </w:p>
    <w:p>
      <w:r>
        <w:t xml:space="preserve">No Cumple</w:t>
      </w:r>
    </w:p>
    <w:p>
      <w:r>
        <w:t xml:space="preserve">Las cláusulas no cumplen con los requisitos de la LFPDPPP.</w:t>
      </w:r>
    </w:p>
    <w:p>
      <w:r>
        <w:t xml:space="preserve"> </w:t>
      </w:r>
    </w:p>
    <w:p>
      <w:r>
        <w:t xml:space="preserve">Se sugiere emplear las cláusulas C1 del Manual de Relaciones con Terceros y/o en su caso los apéndices 2 CM-1 o 3 C-1 para regular la remisión de datos personales.</w:t>
      </w:r>
    </w:p>
    <w:p>
      <w:r>
        <w:t xml:space="preserve"> </w:t>
      </w:r>
    </w:p>
    <w:p>
      <w:r>
        <w:t xml:space="preserve"> </w:t>
      </w:r>
    </w:p>
    <w:p>
      <w:r>
        <w:t xml:space="preserve">Se sugiere emplear la cláusula C2 del Manual de Relaciones con Terceros y/o en su caso los apéndices 2 CM-2 o 3C-2 para regular la transferencia de datos personales de empleados del proveedor.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2026-06-18T15:43:50.305Z</dcterms:created>
  <dcterms:modified xsi:type="dcterms:W3CDTF">2026-06-18T15:43:50.305Z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