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GRT-TER-2026-020 · MP EXECUTIVE HUNT SA DE CV</w:t>
      </w:r>
    </w:p>
    <w:p>
      <w:r>
        <w:rPr>
          <w:b/>
          <w:bCs/>
        </w:rPr>
        <w:t xml:space="preserve">Cliente: </w:t>
      </w:r>
      <w:r>
        <w:t xml:space="preserve">Grünenthal</w:t>
      </w:r>
    </w:p>
    <w:p>
      <w:r>
        <w:rPr>
          <w:b/>
          <w:bCs/>
        </w:rPr>
        <w:t xml:space="preserve">Fuente: </w:t>
      </w:r>
      <w:r>
        <w:t xml:space="preserve">Análisis de Relaciones Grünenthal</w:t>
      </w:r>
    </w:p>
    <w:p>
      <w:r>
        <w:rPr>
          <w:b/>
          <w:bCs/>
        </w:rPr>
        <w:t xml:space="preserve">Archivo fuente: </w:t>
      </w:r>
      <w:r>
        <w:t xml:space="preserve">PolíticasGRT_Davara/Relaciones con Terceros/AnálisisDeRelacionesGrünenthal .docx</w:t>
      </w:r>
    </w:p>
    <w:p>
      <w:r>
        <w:rPr>
          <w:b/>
          <w:bCs/>
        </w:rPr>
        <w:t xml:space="preserve">Rango fuente: </w:t>
      </w:r>
      <w:r>
        <w:t xml:space="preserve">477-484</w:t>
      </w:r>
    </w:p>
    <w:p>
      <w:r>
        <w:rPr>
          <w:b/>
          <w:bCs/>
        </w:rPr>
        <w:t xml:space="preserve">Área: </w:t>
      </w:r>
      <w:r>
        <w:t xml:space="preserve">HUMAN RESOURCES</w:t>
      </w:r>
    </w:p>
    <w:p>
      <w:pPr>
        <w:pStyle w:val="Heading1"/>
      </w:pPr>
      <w:r>
        <w:t xml:space="preserve">Extracto individual</w:t>
      </w:r>
    </w:p>
    <w:p>
      <w:r>
        <w:t xml:space="preserve">MP EXECUTIVE HUNT SA DE CV</w:t>
      </w:r>
    </w:p>
    <w:p>
      <w:r>
        <w:t xml:space="preserve">Contrato de Compra de Producto (Búsqueda de Representante CDMX/EM)</w:t>
      </w:r>
    </w:p>
    <w:p>
      <w:r>
        <w:t xml:space="preserve">Transferencias</w:t>
      </w:r>
    </w:p>
    <w:p>
      <w:r>
        <w:t xml:space="preserve">(1) Artículo 6 Confidenciallidad</w:t>
      </w:r>
    </w:p>
    <w:p>
      <w:r>
        <w:t xml:space="preserve">No cumple</w:t>
      </w:r>
    </w:p>
    <w:p>
      <w:r>
        <w:t xml:space="preserve">La cláusula no cumple con los requisitos de la LFPDPPP.</w:t>
      </w:r>
    </w:p>
    <w:p>
      <w:r>
        <w:t xml:space="preserve"> </w:t>
      </w:r>
    </w:p>
    <w:p>
      <w:r>
        <w:t xml:space="preserve">Se sugiere emplear la cláusula C2 del Manual de Relaciones con Terceros y/o en su caso, los apéndices 2 CM-2 o 3 C-2 del mismo donde se establece la relación entre las partes y sus obligaciones respectivas.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2026-06-18T15:43:50.337Z</dcterms:created>
  <dcterms:modified xsi:type="dcterms:W3CDTF">2026-06-18T15:43:50.337Z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