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GRT-TER-2026-025 · SINEFARMA, S.A. DE C.V.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546-554</w:t>
      </w:r>
    </w:p>
    <w:p>
      <w:r>
        <w:rPr>
          <w:b/>
          <w:bCs/>
        </w:rPr>
        <w:t xml:space="preserve">Área: </w:t>
      </w:r>
      <w:r>
        <w:t xml:space="preserve">INVESTIGACIÓN DE MERCADOS</w:t>
      </w:r>
    </w:p>
    <w:p>
      <w:pPr>
        <w:pStyle w:val="Heading1"/>
      </w:pPr>
      <w:r>
        <w:t xml:space="preserve">Extracto individual</w:t>
      </w:r>
    </w:p>
    <w:p>
      <w:r>
        <w:t xml:space="preserve">SINEFARMA, S.A. DE C.V.</w:t>
      </w:r>
    </w:p>
    <w:p>
      <w:r>
        <w:t xml:space="preserve">Contrato de prestación de servicios de marketing.</w:t>
      </w:r>
    </w:p>
    <w:p>
      <w:r>
        <w:t xml:space="preserve">Remisión</w:t>
      </w:r>
    </w:p>
    <w:p>
      <w:r>
        <w:t xml:space="preserve">(1) Vigésima Protección de Datos Personales</w:t>
      </w:r>
    </w:p>
    <w:p>
      <w:r>
        <w:t xml:space="preserve"> </w:t>
      </w:r>
    </w:p>
    <w:p>
      <w:r>
        <w:t xml:space="preserve">No cumple</w:t>
      </w:r>
    </w:p>
    <w:p>
      <w:r>
        <w:t xml:space="preserve">Las cláusulas no cumplen con los requisitos de la LFPDPPP.</w:t>
      </w:r>
    </w:p>
    <w:p>
      <w:r>
        <w:t xml:space="preserve"> </w:t>
      </w:r>
    </w:p>
    <w:p>
      <w:r>
        <w:t xml:space="preserve">Se sugiere emplear la cláusula C1 del Manual de Relaciones con Terceros y/o en su caso, los apéndices 2 CM-1 o 3 C-1 del mismo donde se delimitan con amplio detalle las obligaciones del Encargado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2026-06-18T15:43:50.358Z</dcterms:created>
  <dcterms:modified xsi:type="dcterms:W3CDTF">2026-06-18T15:43:50.358Z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