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GRT-TER-2026-029 · MICROSOFT CORPORATION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609-614</w:t>
      </w:r>
    </w:p>
    <w:p>
      <w:r>
        <w:rPr>
          <w:b/>
          <w:bCs/>
        </w:rPr>
        <w:t xml:space="preserve">Área: </w:t>
      </w:r>
      <w:r>
        <w:t xml:space="preserve">GLOBALES</w:t>
      </w:r>
    </w:p>
    <w:p>
      <w:pPr>
        <w:pStyle w:val="Heading1"/>
      </w:pPr>
      <w:r>
        <w:t xml:space="preserve">Extracto individual</w:t>
      </w:r>
    </w:p>
    <w:p>
      <w:r>
        <w:t xml:space="preserve">MICROSOFT CORPORATION</w:t>
      </w:r>
    </w:p>
    <w:p>
      <w:r>
        <w:t xml:space="preserve">Contrato de licencia para uso de software y servicios en línea.</w:t>
      </w:r>
    </w:p>
    <w:p>
      <w:r>
        <w:t xml:space="preserve">Remisión</w:t>
      </w:r>
    </w:p>
    <w:p>
      <w:r>
        <w:t xml:space="preserve">(1) Apéndice 3 – Cláusulas Contractuales Tipo (Encargados del Tratamiento)</w:t>
      </w:r>
    </w:p>
    <w:p>
      <w:r>
        <w:t xml:space="preserve">Sí cumple</w:t>
      </w:r>
    </w:p>
    <w:p>
      <w:r>
        <w:t xml:space="preserve">La cláusula si cumplen con los requisitos de la LFPDPPP y su Reglamento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2026-06-18T15:43:50.374Z</dcterms:created>
  <dcterms:modified xsi:type="dcterms:W3CDTF">2026-06-18T15:43:50.374Z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