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Pr="00284BE5" w:rsidR="00D56F14" w:rsidP="00054252" w:rsidRDefault="00D56F14" w14:paraId="1BB2AA4A" w14:textId="61CBA71B">
      <w:pPr>
        <w:pStyle w:val="Ttulo1"/>
      </w:pPr>
      <w:r w:rsidRPr="00284BE5">
        <w:t>O</w:t>
      </w:r>
      <w:r w:rsidRPr="00284BE5" w:rsidR="00636B8B">
        <w:t>bjetivo</w:t>
      </w:r>
    </w:p>
    <w:p w:rsidRPr="00D81B95" w:rsidR="00C825DA" w:rsidP="00C825DA" w:rsidRDefault="00C825DA" w14:paraId="69058F02" w14:textId="77777777">
      <w:pPr>
        <w:jc w:val="both"/>
        <w:rPr>
          <w:rStyle w:val="TextChar"/>
          <w:rFonts w:cs="Arial" w:eastAsiaTheme="minorHAnsi"/>
          <w:szCs w:val="28"/>
          <w:lang w:val="es-MX"/>
        </w:rPr>
      </w:pPr>
      <w:r w:rsidRPr="00D81B95">
        <w:rPr>
          <w:rStyle w:val="TextChar"/>
          <w:rFonts w:eastAsiaTheme="minorHAnsi"/>
          <w:lang w:val="es-MX"/>
        </w:rPr>
        <w:t>El objetivo de este documento es garantizar que los Datos Personales (como se define a continuación) se procesen de acuerdo con las leyes de protección de datos aplicables, en particular con los requisitos definidos en el Reglamento General de Protección de Datos de la UE (“GDPR”).</w:t>
      </w:r>
    </w:p>
    <w:p w:rsidRPr="00284BE5" w:rsidR="00D56F14" w:rsidP="00054252" w:rsidRDefault="00D56F14" w14:paraId="3219E686" w14:textId="3268F496">
      <w:pPr>
        <w:pStyle w:val="Ttulo1"/>
        <w:rPr>
          <w:lang w:val="es-419"/>
        </w:rPr>
      </w:pPr>
      <w:r w:rsidRPr="00054252">
        <w:t>A</w:t>
      </w:r>
      <w:r w:rsidRPr="00054252" w:rsidR="00636B8B">
        <w:t>lcance</w:t>
      </w:r>
    </w:p>
    <w:p w:rsidRPr="00D81B95" w:rsidR="00C825DA" w:rsidP="00C825DA" w:rsidRDefault="00C825DA" w14:paraId="6362BF73" w14:textId="77777777">
      <w:pPr>
        <w:jc w:val="both"/>
        <w:rPr>
          <w:rStyle w:val="TextChar"/>
          <w:rFonts w:eastAsiaTheme="minorHAnsi"/>
          <w:lang w:val="es-MX"/>
        </w:rPr>
      </w:pPr>
      <w:r w:rsidRPr="00D81B95">
        <w:rPr>
          <w:rStyle w:val="TextChar"/>
          <w:rFonts w:eastAsiaTheme="minorHAnsi"/>
          <w:lang w:val="es-MX"/>
        </w:rPr>
        <w:t xml:space="preserve">Este procedimiento se aplica a todos los empleados de Grünenthal en la sede de Grünenthal. También establece los principios y estándares para todos los </w:t>
      </w:r>
      <w:r>
        <w:rPr>
          <w:rStyle w:val="TextChar"/>
          <w:rFonts w:eastAsiaTheme="minorHAnsi"/>
          <w:lang w:val="es-MX"/>
        </w:rPr>
        <w:t>PNO</w:t>
      </w:r>
      <w:r w:rsidRPr="00D81B95">
        <w:rPr>
          <w:rStyle w:val="TextChar"/>
          <w:rFonts w:eastAsiaTheme="minorHAnsi"/>
          <w:lang w:val="es-MX"/>
        </w:rPr>
        <w:t xml:space="preserve"> locales en las filiales de Grünenthal, de acuerdo con las leyes de privacidad de datos aplicables. </w:t>
      </w:r>
    </w:p>
    <w:p w:rsidRPr="00284BE5" w:rsidR="00D56F14" w:rsidP="00054252" w:rsidRDefault="00D56F14" w14:paraId="14D4C269" w14:textId="4B6E8D23">
      <w:pPr>
        <w:pStyle w:val="Ttulo1"/>
        <w:rPr>
          <w:lang w:val="es-419"/>
        </w:rPr>
      </w:pPr>
      <w:r w:rsidRPr="00054252">
        <w:t>R</w:t>
      </w:r>
      <w:r w:rsidRPr="00054252" w:rsidR="00636B8B">
        <w:t>esponsabilidades</w:t>
      </w:r>
    </w:p>
    <w:p w:rsidRPr="00D81B95" w:rsidR="00C825DA" w:rsidP="00C825DA" w:rsidRDefault="00C825DA" w14:paraId="4DB2248B" w14:textId="77777777">
      <w:pPr>
        <w:pStyle w:val="GuidanceNotes"/>
        <w:jc w:val="both"/>
        <w:rPr>
          <w:i w:val="0"/>
          <w:color w:val="auto"/>
          <w:lang w:val="es-MX"/>
        </w:rPr>
      </w:pPr>
      <w:r w:rsidRPr="00D81B95">
        <w:rPr>
          <w:i w:val="0"/>
          <w:color w:val="auto"/>
          <w:lang w:val="es-MX"/>
        </w:rPr>
        <w:t xml:space="preserve">Esta sección proporciona información sobre los roles en cuestión en el proceso descrito. </w:t>
      </w:r>
    </w:p>
    <w:p w:rsidRPr="00D81B95" w:rsidR="00C825DA" w:rsidP="00C825DA" w:rsidRDefault="00C825DA" w14:paraId="4630D90A" w14:textId="77777777">
      <w:pPr>
        <w:pStyle w:val="Text"/>
        <w:rPr>
          <w:lang w:val="es-MX"/>
        </w:rPr>
      </w:pPr>
    </w:p>
    <w:tbl>
      <w:tblPr>
        <w:tblW w:w="9639" w:type="dxa"/>
        <w:tblInd w:w="10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ook w:val="01E0" w:firstRow="1" w:lastRow="1" w:firstColumn="1" w:lastColumn="1" w:noHBand="0" w:noVBand="0"/>
      </w:tblPr>
      <w:tblGrid>
        <w:gridCol w:w="3654"/>
        <w:gridCol w:w="5985"/>
      </w:tblGrid>
      <w:tr w:rsidRPr="00D81B95" w:rsidR="00C825DA" w:rsidTr="00DC0817" w14:paraId="692924B7" w14:textId="77777777">
        <w:trPr>
          <w:tblHeader/>
        </w:trPr>
        <w:tc>
          <w:tcPr>
            <w:tcW w:w="3654" w:type="dxa"/>
            <w:tcBorders>
              <w:top w:val="single" w:color="auto" w:sz="4" w:space="0"/>
              <w:left w:val="single" w:color="auto" w:sz="4" w:space="0"/>
              <w:bottom w:val="single" w:color="auto" w:sz="4" w:space="0"/>
              <w:right w:val="single" w:color="auto" w:sz="4" w:space="0"/>
            </w:tcBorders>
            <w:vAlign w:val="center"/>
            <w:hideMark/>
          </w:tcPr>
          <w:p w:rsidRPr="00D81B95" w:rsidR="00C825DA" w:rsidP="00DC0817" w:rsidRDefault="00C825DA" w14:paraId="5B0327BA" w14:textId="77777777">
            <w:pPr>
              <w:pStyle w:val="Text"/>
              <w:spacing w:line="256" w:lineRule="auto"/>
              <w:rPr>
                <w:b/>
                <w:lang w:val="es-MX"/>
              </w:rPr>
            </w:pPr>
            <w:r w:rsidRPr="00D81B95">
              <w:rPr>
                <w:b/>
                <w:lang w:val="es-MX"/>
              </w:rPr>
              <w:t>Parte</w:t>
            </w:r>
          </w:p>
        </w:tc>
        <w:tc>
          <w:tcPr>
            <w:tcW w:w="5985" w:type="dxa"/>
            <w:tcBorders>
              <w:top w:val="single" w:color="auto" w:sz="4" w:space="0"/>
              <w:left w:val="single" w:color="auto" w:sz="4" w:space="0"/>
              <w:bottom w:val="single" w:color="auto" w:sz="4" w:space="0"/>
              <w:right w:val="single" w:color="auto" w:sz="4" w:space="0"/>
            </w:tcBorders>
            <w:vAlign w:val="center"/>
            <w:hideMark/>
          </w:tcPr>
          <w:p w:rsidRPr="00D81B95" w:rsidR="00C825DA" w:rsidP="00DC0817" w:rsidRDefault="00C825DA" w14:paraId="2317F545" w14:textId="77777777">
            <w:pPr>
              <w:pStyle w:val="Text"/>
              <w:spacing w:line="256" w:lineRule="auto"/>
              <w:rPr>
                <w:b/>
                <w:lang w:val="es-MX"/>
              </w:rPr>
            </w:pPr>
            <w:r w:rsidRPr="00D81B95">
              <w:rPr>
                <w:b/>
                <w:lang w:val="es-MX"/>
              </w:rPr>
              <w:t>Responsabilidad</w:t>
            </w:r>
          </w:p>
        </w:tc>
      </w:tr>
      <w:tr w:rsidRPr="009929C8" w:rsidR="00C825DA" w:rsidTr="00DC0817" w14:paraId="31F6BAB7" w14:textId="77777777">
        <w:tc>
          <w:tcPr>
            <w:tcW w:w="3654"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6A7279B6" w14:textId="77777777">
            <w:pPr>
              <w:pStyle w:val="Text"/>
              <w:spacing w:line="256" w:lineRule="auto"/>
              <w:jc w:val="both"/>
              <w:rPr>
                <w:lang w:val="es-MX"/>
              </w:rPr>
            </w:pPr>
            <w:r w:rsidRPr="00D81B95">
              <w:rPr>
                <w:lang w:val="es-MX"/>
              </w:rPr>
              <w:t>Empleados (iniciadores de actividades de procesamiento de datos personales)</w:t>
            </w:r>
          </w:p>
        </w:tc>
        <w:tc>
          <w:tcPr>
            <w:tcW w:w="5985"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44B43746" w14:textId="77777777">
            <w:pPr>
              <w:pStyle w:val="Text"/>
              <w:spacing w:line="256" w:lineRule="auto"/>
              <w:jc w:val="both"/>
              <w:rPr>
                <w:lang w:val="es-MX"/>
              </w:rPr>
            </w:pPr>
            <w:r w:rsidRPr="00E60AB2">
              <w:rPr>
                <w:lang w:val="es-MX"/>
              </w:rPr>
              <w:t>Asegurar la participación oportuna del Equipo de Protección de Datos en lo que concierne a sus actividades comerciales sobre Datos Personales.</w:t>
            </w:r>
            <w:r w:rsidRPr="00D81B95">
              <w:rPr>
                <w:lang w:val="es-MX"/>
              </w:rPr>
              <w:t xml:space="preserve"> </w:t>
            </w:r>
          </w:p>
          <w:p w:rsidRPr="00D81B95" w:rsidR="00C825DA" w:rsidP="00DC0817" w:rsidRDefault="00C825DA" w14:paraId="50B95172" w14:textId="77777777">
            <w:pPr>
              <w:pStyle w:val="Text"/>
              <w:spacing w:line="256" w:lineRule="auto"/>
              <w:jc w:val="both"/>
              <w:rPr>
                <w:lang w:val="es-MX"/>
              </w:rPr>
            </w:pPr>
            <w:r w:rsidRPr="00E60AB2">
              <w:rPr>
                <w:lang w:val="es-MX"/>
              </w:rPr>
              <w:t>Ingres</w:t>
            </w:r>
            <w:r>
              <w:rPr>
                <w:lang w:val="es-MX"/>
              </w:rPr>
              <w:t>ar</w:t>
            </w:r>
            <w:r w:rsidRPr="00E60AB2">
              <w:rPr>
                <w:lang w:val="es-MX"/>
              </w:rPr>
              <w:t xml:space="preserve"> la información requerida en el Registro de Procesamiento de Datos “2B Advice PrIME” (a través de la encuesta en línea), junto con el Coordinador de Protección de Datos, si es designado.</w:t>
            </w:r>
            <w:r w:rsidRPr="00D81B95">
              <w:rPr>
                <w:lang w:val="es-MX"/>
              </w:rPr>
              <w:t xml:space="preserve">  </w:t>
            </w:r>
          </w:p>
          <w:p w:rsidRPr="00D81B95" w:rsidR="00C825DA" w:rsidP="00DC0817" w:rsidRDefault="00C825DA" w14:paraId="70765428" w14:textId="77777777">
            <w:pPr>
              <w:pStyle w:val="Text"/>
              <w:spacing w:line="256" w:lineRule="auto"/>
              <w:jc w:val="both"/>
              <w:rPr>
                <w:lang w:val="es-MX"/>
              </w:rPr>
            </w:pPr>
            <w:r w:rsidRPr="00E60AB2">
              <w:rPr>
                <w:lang w:val="es-MX"/>
              </w:rPr>
              <w:t>Apoyar al equipo de protección de datos en la realización de evaluaciones de impacto de protección de datos.</w:t>
            </w:r>
          </w:p>
          <w:p w:rsidRPr="00D81B95" w:rsidR="00C825DA" w:rsidP="00DC0817" w:rsidRDefault="00C825DA" w14:paraId="06878942" w14:textId="77777777">
            <w:pPr>
              <w:pStyle w:val="Text"/>
              <w:spacing w:line="256" w:lineRule="auto"/>
              <w:jc w:val="both"/>
              <w:rPr>
                <w:lang w:val="es-MX"/>
              </w:rPr>
            </w:pPr>
            <w:r w:rsidRPr="00E60AB2">
              <w:rPr>
                <w:lang w:val="es-MX"/>
              </w:rPr>
              <w:t>Proporcion</w:t>
            </w:r>
            <w:r>
              <w:rPr>
                <w:lang w:val="es-MX"/>
              </w:rPr>
              <w:t>ar</w:t>
            </w:r>
            <w:r w:rsidRPr="00E60AB2">
              <w:rPr>
                <w:lang w:val="es-MX"/>
              </w:rPr>
              <w:t xml:space="preserve"> información funcional a los acuerdos de protección de datos relevantes, si los hubiera.</w:t>
            </w:r>
            <w:r w:rsidRPr="00D81B95">
              <w:rPr>
                <w:lang w:val="es-MX"/>
              </w:rPr>
              <w:t xml:space="preserve"> </w:t>
            </w:r>
          </w:p>
          <w:p w:rsidRPr="00D81B95" w:rsidR="00C825DA" w:rsidP="00DC0817" w:rsidRDefault="00C825DA" w14:paraId="18A94CDF" w14:textId="77777777">
            <w:pPr>
              <w:pStyle w:val="Text"/>
              <w:spacing w:line="256" w:lineRule="auto"/>
              <w:jc w:val="both"/>
              <w:rPr>
                <w:highlight w:val="yellow"/>
                <w:lang w:val="es-MX"/>
              </w:rPr>
            </w:pPr>
            <w:r w:rsidRPr="00E60AB2">
              <w:rPr>
                <w:lang w:val="es-MX"/>
              </w:rPr>
              <w:t>Asegurarse de que todas sus actividades relacionadas con los Datos Personales estén en línea con los consejos e instrucciones del Equipo de Protección de Datos.</w:t>
            </w:r>
            <w:r w:rsidRPr="00D81B95">
              <w:rPr>
                <w:lang w:val="es-MX"/>
              </w:rPr>
              <w:t xml:space="preserve">  </w:t>
            </w:r>
          </w:p>
        </w:tc>
      </w:tr>
      <w:tr w:rsidRPr="009929C8" w:rsidR="00C825DA" w:rsidTr="00DC0817" w14:paraId="2C9C78A7" w14:textId="77777777">
        <w:tc>
          <w:tcPr>
            <w:tcW w:w="3654"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6165BEB1" w14:textId="77777777">
            <w:pPr>
              <w:pStyle w:val="Text"/>
              <w:spacing w:line="256" w:lineRule="auto"/>
              <w:jc w:val="both"/>
              <w:rPr>
                <w:lang w:val="es-MX"/>
              </w:rPr>
            </w:pPr>
            <w:r w:rsidRPr="00D81B95">
              <w:rPr>
                <w:lang w:val="es-MX"/>
              </w:rPr>
              <w:t>Coordinadores de Protección de Datos (empleados designados que actúan como enlace de conexión entre el área funcional y el Equipo de Protección de Datos)</w:t>
            </w:r>
          </w:p>
        </w:tc>
        <w:tc>
          <w:tcPr>
            <w:tcW w:w="5985"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17517FB1" w14:textId="77777777">
            <w:pPr>
              <w:pStyle w:val="Text"/>
              <w:spacing w:line="256" w:lineRule="auto"/>
              <w:jc w:val="both"/>
              <w:rPr>
                <w:lang w:val="es-MX"/>
              </w:rPr>
            </w:pPr>
            <w:r w:rsidRPr="00E60AB2">
              <w:rPr>
                <w:lang w:val="es-MX"/>
              </w:rPr>
              <w:t>Coordinar (y apoyar) todas las actividades relevantes que involucren el Procesamiento de Datos Personales por parte de los empleados en el área funcional correspondiente.</w:t>
            </w:r>
          </w:p>
        </w:tc>
      </w:tr>
      <w:tr w:rsidRPr="009929C8" w:rsidR="00C825DA" w:rsidTr="00DC0817" w14:paraId="74A00EEA" w14:textId="77777777">
        <w:tc>
          <w:tcPr>
            <w:tcW w:w="3654"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09CD5FDC" w14:textId="77777777">
            <w:pPr>
              <w:pStyle w:val="Text"/>
              <w:spacing w:line="256" w:lineRule="auto"/>
              <w:jc w:val="both"/>
              <w:rPr>
                <w:lang w:val="es-MX"/>
              </w:rPr>
            </w:pPr>
            <w:r>
              <w:rPr>
                <w:lang w:val="es-MX"/>
              </w:rPr>
              <w:lastRenderedPageBreak/>
              <w:t>Adquisición</w:t>
            </w:r>
          </w:p>
        </w:tc>
        <w:tc>
          <w:tcPr>
            <w:tcW w:w="5985"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26E32F73" w14:textId="77777777">
            <w:pPr>
              <w:pStyle w:val="Text"/>
              <w:spacing w:line="256" w:lineRule="auto"/>
              <w:jc w:val="both"/>
              <w:rPr>
                <w:lang w:val="es-MX"/>
              </w:rPr>
            </w:pPr>
            <w:r w:rsidRPr="00E60AB2">
              <w:rPr>
                <w:lang w:val="es-MX"/>
              </w:rPr>
              <w:t xml:space="preserve">Líder de proceso en coordinación </w:t>
            </w:r>
            <w:r>
              <w:rPr>
                <w:lang w:val="es-MX"/>
              </w:rPr>
              <w:t>con e</w:t>
            </w:r>
            <w:r w:rsidRPr="00E60AB2">
              <w:rPr>
                <w:lang w:val="es-MX"/>
              </w:rPr>
              <w:t>l acuerdo con el proveedor, que puede incluir acuerdos de protección de datos relevantes con los proveedores, si corresponde.</w:t>
            </w:r>
          </w:p>
        </w:tc>
      </w:tr>
      <w:tr w:rsidRPr="009929C8" w:rsidR="00C825DA" w:rsidTr="00DC0817" w14:paraId="2B01D6A6" w14:textId="77777777">
        <w:tc>
          <w:tcPr>
            <w:tcW w:w="3654"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3B69136E" w14:textId="77777777">
            <w:pPr>
              <w:pStyle w:val="Text"/>
              <w:spacing w:line="256" w:lineRule="auto"/>
              <w:jc w:val="both"/>
              <w:rPr>
                <w:lang w:val="es-MX"/>
              </w:rPr>
            </w:pPr>
            <w:r w:rsidRPr="00E60AB2">
              <w:rPr>
                <w:lang w:val="es-MX"/>
              </w:rPr>
              <w:t>Equipo de Protección de Datos (está formado por colegas de Global Compliance, Global IT, Global Legal y el delegado de Protección de Datos externo)</w:t>
            </w:r>
          </w:p>
        </w:tc>
        <w:tc>
          <w:tcPr>
            <w:tcW w:w="5985"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491B3681" w14:textId="77777777">
            <w:pPr>
              <w:pStyle w:val="Text"/>
              <w:spacing w:line="256" w:lineRule="auto"/>
              <w:jc w:val="both"/>
              <w:rPr>
                <w:lang w:val="es-MX"/>
              </w:rPr>
            </w:pPr>
            <w:r w:rsidRPr="00E60AB2">
              <w:rPr>
                <w:lang w:val="es-MX"/>
              </w:rPr>
              <w:t>Proporciona asesoramiento sobre todos los temas de protección de datos (incluida la seguridad de TI) en la sede de GRT.</w:t>
            </w:r>
            <w:r w:rsidRPr="00D81B95">
              <w:rPr>
                <w:lang w:val="es-MX"/>
              </w:rPr>
              <w:t xml:space="preserve"> </w:t>
            </w:r>
          </w:p>
          <w:p w:rsidRPr="00D81B95" w:rsidR="00C825DA" w:rsidP="00DC0817" w:rsidRDefault="00C825DA" w14:paraId="3406E102" w14:textId="77777777">
            <w:pPr>
              <w:pStyle w:val="Text"/>
              <w:spacing w:line="256" w:lineRule="auto"/>
              <w:jc w:val="both"/>
              <w:rPr>
                <w:lang w:val="es-MX"/>
              </w:rPr>
            </w:pPr>
            <w:r w:rsidRPr="00E60AB2">
              <w:rPr>
                <w:lang w:val="es-MX"/>
              </w:rPr>
              <w:t>Revisa y, si corresponde, aprueba, las actividades de procesamiento de datos personales antes de que tengan lugar.</w:t>
            </w:r>
            <w:r w:rsidRPr="00D81B95">
              <w:rPr>
                <w:lang w:val="es-MX"/>
              </w:rPr>
              <w:t xml:space="preserve"> </w:t>
            </w:r>
          </w:p>
          <w:p w:rsidRPr="00D81B95" w:rsidR="00C825DA" w:rsidP="00DC0817" w:rsidRDefault="00C825DA" w14:paraId="06F2E405" w14:textId="77777777">
            <w:pPr>
              <w:pStyle w:val="Text"/>
              <w:spacing w:line="256" w:lineRule="auto"/>
              <w:jc w:val="both"/>
              <w:rPr>
                <w:lang w:val="es-MX"/>
              </w:rPr>
            </w:pPr>
            <w:r w:rsidRPr="00E60AB2">
              <w:rPr>
                <w:lang w:val="es-MX"/>
              </w:rPr>
              <w:t>Propone la implementación de medidas adicionales para garantizar que los Datos Personales se procesen de acuerdo con los requisitos de protección de datos y seguridad de TI aplicables.</w:t>
            </w:r>
            <w:r w:rsidRPr="00D81B95">
              <w:rPr>
                <w:lang w:val="es-MX"/>
              </w:rPr>
              <w:t xml:space="preserve"> </w:t>
            </w:r>
          </w:p>
          <w:p w:rsidRPr="00D81B95" w:rsidR="00C825DA" w:rsidP="00DC0817" w:rsidRDefault="00C825DA" w14:paraId="2F224293" w14:textId="77777777">
            <w:pPr>
              <w:pStyle w:val="Text"/>
              <w:spacing w:line="256" w:lineRule="auto"/>
              <w:jc w:val="both"/>
              <w:rPr>
                <w:lang w:val="es-MX"/>
              </w:rPr>
            </w:pPr>
            <w:r w:rsidRPr="00E60AB2">
              <w:rPr>
                <w:lang w:val="es-MX"/>
              </w:rPr>
              <w:t>Asesora al Asesor Jurídico y al Miembro de la Junta Ejecutiva correspondiente cuando sea requerido en este P</w:t>
            </w:r>
            <w:r>
              <w:rPr>
                <w:lang w:val="es-MX"/>
              </w:rPr>
              <w:t>NO</w:t>
            </w:r>
            <w:r w:rsidRPr="00E60AB2">
              <w:rPr>
                <w:lang w:val="es-MX"/>
              </w:rPr>
              <w:t>.</w:t>
            </w:r>
            <w:r w:rsidRPr="00D81B95">
              <w:rPr>
                <w:lang w:val="es-MX"/>
              </w:rPr>
              <w:t xml:space="preserve"> </w:t>
            </w:r>
          </w:p>
          <w:p w:rsidRPr="00D81B95" w:rsidR="00C825DA" w:rsidP="00DC0817" w:rsidRDefault="00C825DA" w14:paraId="5060C211" w14:textId="77777777">
            <w:pPr>
              <w:pStyle w:val="Text"/>
              <w:spacing w:line="256" w:lineRule="auto"/>
              <w:jc w:val="both"/>
              <w:rPr>
                <w:lang w:val="es-MX"/>
              </w:rPr>
            </w:pPr>
            <w:r w:rsidRPr="00E60AB2">
              <w:rPr>
                <w:lang w:val="es-MX"/>
              </w:rPr>
              <w:t xml:space="preserve">Se pone en contacto con las autoridades alemanas de protección de datos cuando se lo requiera en este </w:t>
            </w:r>
            <w:r>
              <w:rPr>
                <w:lang w:val="es-MX"/>
              </w:rPr>
              <w:t>PNO</w:t>
            </w:r>
            <w:r w:rsidRPr="00E60AB2">
              <w:rPr>
                <w:lang w:val="es-MX"/>
              </w:rPr>
              <w:t>, después de la aprobación por parte del Asesor Jurídico y el miembro de la Junta Ejecutiva correspondiente.</w:t>
            </w:r>
          </w:p>
        </w:tc>
      </w:tr>
      <w:tr w:rsidRPr="009929C8" w:rsidR="00C825DA" w:rsidTr="00DC0817" w14:paraId="5B429255" w14:textId="77777777">
        <w:tc>
          <w:tcPr>
            <w:tcW w:w="3654"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00947B4B" w14:textId="77777777">
            <w:pPr>
              <w:pStyle w:val="Text"/>
              <w:spacing w:line="256" w:lineRule="auto"/>
              <w:jc w:val="both"/>
              <w:rPr>
                <w:highlight w:val="yellow"/>
                <w:lang w:val="es-MX"/>
              </w:rPr>
            </w:pPr>
            <w:r>
              <w:rPr>
                <w:lang w:val="es-MX"/>
              </w:rPr>
              <w:t>Abogado General</w:t>
            </w:r>
          </w:p>
        </w:tc>
        <w:tc>
          <w:tcPr>
            <w:tcW w:w="5985"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5B4AAFAE" w14:textId="77777777">
            <w:pPr>
              <w:pStyle w:val="Text"/>
              <w:spacing w:line="256" w:lineRule="auto"/>
              <w:jc w:val="both"/>
              <w:rPr>
                <w:highlight w:val="yellow"/>
                <w:lang w:val="es-MX"/>
              </w:rPr>
            </w:pPr>
            <w:r w:rsidRPr="00E60AB2">
              <w:rPr>
                <w:lang w:val="es-MX"/>
              </w:rPr>
              <w:t>Aprueba las actividades de procesamiento de datos personales de alto riesgo, incluidas las transferencias de datos a terceros países que no proporcionan un nivel de protección esencialmente equivalente al de la UE, en estrecha alineación con el miembro del Comité Ejecutivo responsable de la actividad de procesamiento, después de obtener el asesoramiento. del Equipo de Protección de Datos.</w:t>
            </w:r>
          </w:p>
        </w:tc>
      </w:tr>
      <w:tr w:rsidRPr="009929C8" w:rsidR="00C825DA" w:rsidTr="00DC0817" w14:paraId="460C9E9A" w14:textId="77777777">
        <w:tc>
          <w:tcPr>
            <w:tcW w:w="3654"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23F4B04E" w14:textId="77777777">
            <w:pPr>
              <w:pStyle w:val="Text"/>
              <w:spacing w:line="256" w:lineRule="auto"/>
              <w:jc w:val="both"/>
              <w:rPr>
                <w:lang w:val="es-MX"/>
              </w:rPr>
            </w:pPr>
            <w:r w:rsidRPr="00E60AB2">
              <w:rPr>
                <w:lang w:val="es-MX"/>
              </w:rPr>
              <w:t>Miembro de la Junta Ejecutiva responsable de la actividad de procesamiento</w:t>
            </w:r>
          </w:p>
        </w:tc>
        <w:tc>
          <w:tcPr>
            <w:tcW w:w="5985" w:type="dxa"/>
            <w:tcBorders>
              <w:top w:val="single" w:color="auto" w:sz="4" w:space="0"/>
              <w:left w:val="single" w:color="auto" w:sz="4" w:space="0"/>
              <w:bottom w:val="single" w:color="auto" w:sz="4" w:space="0"/>
              <w:right w:val="single" w:color="auto" w:sz="4" w:space="0"/>
            </w:tcBorders>
            <w:hideMark/>
          </w:tcPr>
          <w:p w:rsidRPr="00D81B95" w:rsidR="00C825DA" w:rsidP="00DC0817" w:rsidRDefault="00C825DA" w14:paraId="7D1C699D" w14:textId="77777777">
            <w:pPr>
              <w:pStyle w:val="Text"/>
              <w:spacing w:line="256" w:lineRule="auto"/>
              <w:jc w:val="both"/>
              <w:rPr>
                <w:highlight w:val="yellow"/>
                <w:lang w:val="es-MX"/>
              </w:rPr>
            </w:pPr>
            <w:r w:rsidRPr="00E60AB2">
              <w:rPr>
                <w:lang w:val="es-MX"/>
              </w:rPr>
              <w:t>Aprueba las actividades de procesamiento de datos personales de alto riesgo, incluidas las transferencias de datos a terceros países que no brindan un nivel de protección esencialmente equivalente al de la UE-EEE, en estrecha alineación con el Asesor Jurídico, después de obtener el asesoramiento del Equipo de Protección de Datos.</w:t>
            </w:r>
          </w:p>
        </w:tc>
      </w:tr>
    </w:tbl>
    <w:p w:rsidR="00D56F14" w:rsidP="00C825DA" w:rsidRDefault="00D56F14" w14:paraId="556E5F9C" w14:textId="77777777">
      <w:pPr>
        <w:pStyle w:val="Ttulo1"/>
        <w:pageBreakBefore/>
        <w:rPr>
          <w:lang w:val="es-419"/>
        </w:rPr>
      </w:pPr>
      <w:r>
        <w:rPr>
          <w:lang w:val="es-419"/>
        </w:rPr>
        <w:lastRenderedPageBreak/>
        <w:t xml:space="preserve">Términos y </w:t>
      </w:r>
      <w:r w:rsidRPr="00054252">
        <w:t>definiciones</w:t>
      </w:r>
    </w:p>
    <w:tbl>
      <w:tblPr>
        <w:tblStyle w:val="Tablaconcuadrcula"/>
        <w:tblW w:w="9209" w:type="dxa"/>
        <w:tblInd w:w="0" w:type="dxa"/>
        <w:tblLook w:val="04A0" w:firstRow="1" w:lastRow="0" w:firstColumn="1" w:lastColumn="0" w:noHBand="0" w:noVBand="1"/>
      </w:tblPr>
      <w:tblGrid>
        <w:gridCol w:w="2830"/>
        <w:gridCol w:w="6379"/>
      </w:tblGrid>
      <w:tr w:rsidRPr="00D81B95" w:rsidR="00C825DA" w:rsidTr="00C825DA" w14:paraId="3D5BBE96" w14:textId="77777777">
        <w:tc>
          <w:tcPr>
            <w:tcW w:w="2830" w:type="dxa"/>
            <w:hideMark/>
          </w:tcPr>
          <w:p w:rsidRPr="00D81B95" w:rsidR="00C825DA" w:rsidP="00DC0817" w:rsidRDefault="00C825DA" w14:paraId="19DFF236" w14:textId="77777777">
            <w:pPr>
              <w:pStyle w:val="GuidanceNotes"/>
              <w:spacing w:line="256" w:lineRule="auto"/>
              <w:jc w:val="both"/>
              <w:rPr>
                <w:i w:val="0"/>
                <w:color w:val="auto"/>
                <w:lang w:val="es-MX"/>
              </w:rPr>
            </w:pPr>
            <w:r>
              <w:rPr>
                <w:i w:val="0"/>
                <w:color w:val="auto"/>
                <w:lang w:val="es-MX"/>
              </w:rPr>
              <w:t>Términos</w:t>
            </w:r>
          </w:p>
        </w:tc>
        <w:tc>
          <w:tcPr>
            <w:tcW w:w="6379" w:type="dxa"/>
            <w:hideMark/>
          </w:tcPr>
          <w:p w:rsidRPr="00D81B95" w:rsidR="00C825DA" w:rsidP="00DC0817" w:rsidRDefault="00C825DA" w14:paraId="3F5BBC83" w14:textId="77777777">
            <w:pPr>
              <w:pStyle w:val="GuidanceNotes"/>
              <w:spacing w:line="256" w:lineRule="auto"/>
              <w:jc w:val="both"/>
              <w:rPr>
                <w:i w:val="0"/>
                <w:color w:val="auto"/>
                <w:lang w:val="es-MX"/>
              </w:rPr>
            </w:pPr>
            <w:r>
              <w:rPr>
                <w:i w:val="0"/>
                <w:color w:val="auto"/>
                <w:lang w:val="es-MX"/>
              </w:rPr>
              <w:t>Definición/ Explicación</w:t>
            </w:r>
          </w:p>
        </w:tc>
      </w:tr>
      <w:tr w:rsidRPr="009929C8" w:rsidR="00C825DA" w:rsidTr="00C825DA" w14:paraId="0C1C1BF7" w14:textId="77777777">
        <w:tc>
          <w:tcPr>
            <w:tcW w:w="2830" w:type="dxa"/>
            <w:hideMark/>
          </w:tcPr>
          <w:p w:rsidRPr="00D81B95" w:rsidR="00C825DA" w:rsidP="00DC0817" w:rsidRDefault="00C825DA" w14:paraId="03AB67E6" w14:textId="77777777">
            <w:pPr>
              <w:pStyle w:val="GuidanceNotes"/>
              <w:spacing w:line="256" w:lineRule="auto"/>
              <w:jc w:val="both"/>
              <w:rPr>
                <w:i w:val="0"/>
                <w:color w:val="auto"/>
                <w:lang w:val="es-MX"/>
              </w:rPr>
            </w:pPr>
            <w:r>
              <w:rPr>
                <w:i w:val="0"/>
                <w:color w:val="auto"/>
                <w:lang w:val="es-MX"/>
              </w:rPr>
              <w:t>Datos personales</w:t>
            </w:r>
          </w:p>
        </w:tc>
        <w:tc>
          <w:tcPr>
            <w:tcW w:w="6379" w:type="dxa"/>
            <w:hideMark/>
          </w:tcPr>
          <w:p w:rsidRPr="00D81B95" w:rsidR="00C825DA" w:rsidP="00DC0817" w:rsidRDefault="00C825DA" w14:paraId="61BD8924" w14:textId="77777777">
            <w:pPr>
              <w:pStyle w:val="Text"/>
              <w:spacing w:line="256" w:lineRule="auto"/>
              <w:jc w:val="both"/>
              <w:rPr>
                <w:lang w:val="es-MX"/>
              </w:rPr>
            </w:pPr>
            <w:r w:rsidRPr="00E60AB2">
              <w:rPr>
                <w:lang w:val="es-MX"/>
              </w:rPr>
              <w:t>Cualquier información relacionada con un sujeto de datos (como se define a continuación).</w:t>
            </w:r>
            <w:r w:rsidRPr="00D81B95">
              <w:rPr>
                <w:lang w:val="es-MX"/>
              </w:rPr>
              <w:t xml:space="preserve"> </w:t>
            </w:r>
          </w:p>
          <w:p w:rsidRPr="00D81B95" w:rsidR="00C825DA" w:rsidP="00DC0817" w:rsidRDefault="00C825DA" w14:paraId="3F4318D3" w14:textId="77777777">
            <w:pPr>
              <w:pStyle w:val="Text"/>
              <w:spacing w:line="256" w:lineRule="auto"/>
              <w:jc w:val="both"/>
              <w:rPr>
                <w:i/>
                <w:lang w:val="es-MX"/>
              </w:rPr>
            </w:pPr>
            <w:r w:rsidRPr="00E60AB2">
              <w:rPr>
                <w:lang w:val="es-MX"/>
              </w:rPr>
              <w:t>El término "cualquier información" se refiere a cualquier tipo de datos que puedan atribuirse, directa o indirectamente, a una persona física</w:t>
            </w:r>
            <w:r>
              <w:rPr>
                <w:lang w:val="es-MX"/>
              </w:rPr>
              <w:t xml:space="preserve"> o natural</w:t>
            </w:r>
            <w:r w:rsidRPr="00E60AB2">
              <w:rPr>
                <w:lang w:val="es-MX"/>
              </w:rPr>
              <w:t xml:space="preserve">, como nombre, edad, profesión, cargo en la empresa, datos de contacto personales o profesionales, opiniones, datos </w:t>
            </w:r>
            <w:r>
              <w:rPr>
                <w:lang w:val="es-MX"/>
              </w:rPr>
              <w:t>p</w:t>
            </w:r>
            <w:r w:rsidRPr="00E60AB2">
              <w:rPr>
                <w:lang w:val="es-MX"/>
              </w:rPr>
              <w:t>seudonimizados, imágenes, vídeo o grabaciones de audio, datos sobre salud, etc.</w:t>
            </w:r>
          </w:p>
        </w:tc>
      </w:tr>
      <w:tr w:rsidRPr="009929C8" w:rsidR="00C825DA" w:rsidTr="00C825DA" w14:paraId="70C8C680" w14:textId="77777777">
        <w:tc>
          <w:tcPr>
            <w:tcW w:w="2830" w:type="dxa"/>
            <w:hideMark/>
          </w:tcPr>
          <w:p w:rsidRPr="00D81B95" w:rsidR="00C825DA" w:rsidP="00DC0817" w:rsidRDefault="00C825DA" w14:paraId="2D6986E2" w14:textId="77777777">
            <w:pPr>
              <w:pStyle w:val="GuidanceNotes"/>
              <w:spacing w:line="256" w:lineRule="auto"/>
              <w:jc w:val="both"/>
              <w:rPr>
                <w:i w:val="0"/>
                <w:color w:val="auto"/>
                <w:lang w:val="es-MX"/>
              </w:rPr>
            </w:pPr>
            <w:r w:rsidRPr="00E60AB2">
              <w:rPr>
                <w:i w:val="0"/>
                <w:color w:val="auto"/>
                <w:lang w:val="es-MX"/>
              </w:rPr>
              <w:t>Categorías especiales de datos personales</w:t>
            </w:r>
          </w:p>
        </w:tc>
        <w:tc>
          <w:tcPr>
            <w:tcW w:w="6379" w:type="dxa"/>
            <w:hideMark/>
          </w:tcPr>
          <w:p w:rsidRPr="00D81B95" w:rsidR="00C825DA" w:rsidP="00DC0817" w:rsidRDefault="00C825DA" w14:paraId="44684FC3" w14:textId="77777777">
            <w:pPr>
              <w:pStyle w:val="Text"/>
              <w:spacing w:line="256" w:lineRule="auto"/>
              <w:jc w:val="both"/>
              <w:rPr>
                <w:lang w:val="es-MX"/>
              </w:rPr>
            </w:pPr>
            <w:r w:rsidRPr="001C6BA1">
              <w:rPr>
                <w:lang w:val="es-MX"/>
              </w:rPr>
              <w:t>Datos personales que revelen origen racial o étnico, opiniones políticas, creencias religiosas o filosóficas, afiliación sindical, datos genéticos, datos biométricos con el fin de identificar de forma única a una persona física, datos relacionados con la salud o datos relacionados con la vida sexual u orientación sexual de una persona física.</w:t>
            </w:r>
          </w:p>
        </w:tc>
      </w:tr>
      <w:tr w:rsidRPr="009929C8" w:rsidR="00C825DA" w:rsidTr="00C825DA" w14:paraId="1F3D5A1A" w14:textId="77777777">
        <w:tc>
          <w:tcPr>
            <w:tcW w:w="2830" w:type="dxa"/>
            <w:hideMark/>
          </w:tcPr>
          <w:p w:rsidRPr="00D81B95" w:rsidR="00C825DA" w:rsidP="00DC0817" w:rsidRDefault="00C825DA" w14:paraId="61741475" w14:textId="77777777">
            <w:pPr>
              <w:pStyle w:val="GuidanceNotes"/>
              <w:spacing w:line="256" w:lineRule="auto"/>
              <w:jc w:val="both"/>
              <w:rPr>
                <w:i w:val="0"/>
                <w:color w:val="auto"/>
                <w:lang w:val="es-MX"/>
              </w:rPr>
            </w:pPr>
            <w:r>
              <w:rPr>
                <w:i w:val="0"/>
                <w:color w:val="auto"/>
                <w:lang w:val="es-MX"/>
              </w:rPr>
              <w:t>Sujeto de datos</w:t>
            </w:r>
            <w:r w:rsidRPr="001C6BA1">
              <w:rPr>
                <w:i w:val="0"/>
                <w:color w:val="auto"/>
                <w:lang w:val="es-MX"/>
              </w:rPr>
              <w:t xml:space="preserve"> (individuo interesado)</w:t>
            </w:r>
          </w:p>
        </w:tc>
        <w:tc>
          <w:tcPr>
            <w:tcW w:w="6379" w:type="dxa"/>
            <w:hideMark/>
          </w:tcPr>
          <w:p w:rsidRPr="00D81B95" w:rsidR="00C825DA" w:rsidP="00DC0817" w:rsidRDefault="00C825DA" w14:paraId="3D41C55D" w14:textId="77777777">
            <w:pPr>
              <w:pStyle w:val="Text"/>
              <w:spacing w:line="256" w:lineRule="auto"/>
              <w:jc w:val="both"/>
              <w:rPr>
                <w:lang w:val="es-MX"/>
              </w:rPr>
            </w:pPr>
            <w:r w:rsidRPr="001C6BA1">
              <w:rPr>
                <w:lang w:val="es-MX"/>
              </w:rPr>
              <w:t>Una persona física que pueda ser identificada, directa o indirectamente, en particular por referencia a un identificador como un nombre, un número de identificación, datos de ubicación, un identificador en línea, o a uno o más factores específicos de los aspectos físicos, fisiológicos, genéticos, identidad mental, económica, cultural o social de esa persona física.</w:t>
            </w:r>
          </w:p>
        </w:tc>
      </w:tr>
      <w:tr w:rsidRPr="009929C8" w:rsidR="00C825DA" w:rsidTr="00C825DA" w14:paraId="7BF6CF4D" w14:textId="77777777">
        <w:tc>
          <w:tcPr>
            <w:tcW w:w="2830" w:type="dxa"/>
            <w:hideMark/>
          </w:tcPr>
          <w:p w:rsidRPr="00D81B95" w:rsidR="00C825DA" w:rsidP="00DC0817" w:rsidRDefault="00C825DA" w14:paraId="0FB65EB5" w14:textId="77777777">
            <w:pPr>
              <w:pStyle w:val="GuidanceNotes"/>
              <w:spacing w:line="256" w:lineRule="auto"/>
              <w:jc w:val="both"/>
              <w:rPr>
                <w:i w:val="0"/>
                <w:color w:val="auto"/>
                <w:lang w:val="es-MX"/>
              </w:rPr>
            </w:pPr>
            <w:r w:rsidRPr="001C6BA1">
              <w:rPr>
                <w:i w:val="0"/>
                <w:color w:val="auto"/>
                <w:lang w:val="es-MX"/>
              </w:rPr>
              <w:t>Procesamiento de datos personales (o actividad de procesamiento)</w:t>
            </w:r>
          </w:p>
        </w:tc>
        <w:tc>
          <w:tcPr>
            <w:tcW w:w="6379" w:type="dxa"/>
            <w:hideMark/>
          </w:tcPr>
          <w:p w:rsidRPr="00D81B95" w:rsidR="00C825DA" w:rsidP="00DC0817" w:rsidRDefault="00C825DA" w14:paraId="625BEF43" w14:textId="77777777">
            <w:pPr>
              <w:pStyle w:val="Text"/>
              <w:spacing w:line="256" w:lineRule="auto"/>
              <w:jc w:val="both"/>
              <w:rPr>
                <w:i/>
                <w:lang w:val="es-MX"/>
              </w:rPr>
            </w:pPr>
            <w:r w:rsidRPr="001C6BA1">
              <w:rPr>
                <w:lang w:val="es-MX"/>
              </w:rPr>
              <w:t>Cualquier operación o conjunto de operaciones que se realice sobre Datos Personales o sobre conjuntos de Datos Personales, sea o no por medios automatizados, tales como recolección, registro, organización, estructuración, almacenamiento, adaptación o alteración, recuperación, consulta, uso, divulgación por transmisión, difusión o puesta a disposición, alineación o combinación, restricción, borrado o destrucción.</w:t>
            </w:r>
          </w:p>
        </w:tc>
      </w:tr>
      <w:tr w:rsidRPr="009929C8" w:rsidR="00C825DA" w:rsidTr="00C825DA" w14:paraId="4A01A0CA" w14:textId="77777777">
        <w:tc>
          <w:tcPr>
            <w:tcW w:w="2830" w:type="dxa"/>
            <w:hideMark/>
          </w:tcPr>
          <w:p w:rsidRPr="00D81B95" w:rsidR="00C825DA" w:rsidP="00DC0817" w:rsidRDefault="00C825DA" w14:paraId="467BC7BD" w14:textId="77777777">
            <w:pPr>
              <w:pStyle w:val="GuidanceNotes"/>
              <w:spacing w:line="256" w:lineRule="auto"/>
              <w:jc w:val="both"/>
              <w:rPr>
                <w:i w:val="0"/>
                <w:color w:val="auto"/>
                <w:lang w:val="es-MX"/>
              </w:rPr>
            </w:pPr>
            <w:r w:rsidRPr="001C6BA1">
              <w:rPr>
                <w:i w:val="0"/>
                <w:color w:val="auto"/>
                <w:lang w:val="es-MX"/>
              </w:rPr>
              <w:t>Controlador de datos</w:t>
            </w:r>
          </w:p>
        </w:tc>
        <w:tc>
          <w:tcPr>
            <w:tcW w:w="6379" w:type="dxa"/>
            <w:hideMark/>
          </w:tcPr>
          <w:p w:rsidRPr="00D81B95" w:rsidR="00C825DA" w:rsidP="00DC0817" w:rsidRDefault="00C825DA" w14:paraId="15AA86CA" w14:textId="77777777">
            <w:pPr>
              <w:pStyle w:val="Text"/>
              <w:spacing w:line="256" w:lineRule="auto"/>
              <w:jc w:val="both"/>
              <w:rPr>
                <w:i/>
                <w:lang w:val="es-MX"/>
              </w:rPr>
            </w:pPr>
            <w:r w:rsidRPr="001C6BA1">
              <w:rPr>
                <w:lang w:val="es-MX"/>
              </w:rPr>
              <w:t>Persona física o jurídica, autoridad pública, agencia u otro organismo que, solo o junto con otros, determina los fines y medios del Tratamiento de Datos Personales (es decir, normalmente, GRT actúa como Responsable del Tratamiento en el contexto de sus actividades comerciales).</w:t>
            </w:r>
          </w:p>
        </w:tc>
      </w:tr>
      <w:tr w:rsidRPr="009929C8" w:rsidR="00C825DA" w:rsidTr="00C825DA" w14:paraId="5EBFFD79" w14:textId="77777777">
        <w:tc>
          <w:tcPr>
            <w:tcW w:w="2830" w:type="dxa"/>
            <w:hideMark/>
          </w:tcPr>
          <w:p w:rsidRPr="00D81B95" w:rsidR="00C825DA" w:rsidP="00DC0817" w:rsidRDefault="00C825DA" w14:paraId="3B824212" w14:textId="77777777">
            <w:pPr>
              <w:pStyle w:val="GuidanceNotes"/>
              <w:spacing w:line="256" w:lineRule="auto"/>
              <w:jc w:val="both"/>
              <w:rPr>
                <w:i w:val="0"/>
                <w:color w:val="auto"/>
                <w:lang w:val="es-MX"/>
              </w:rPr>
            </w:pPr>
            <w:r w:rsidRPr="001C6BA1">
              <w:rPr>
                <w:i w:val="0"/>
                <w:color w:val="auto"/>
                <w:lang w:val="es-MX"/>
              </w:rPr>
              <w:t>Procesador de datos</w:t>
            </w:r>
          </w:p>
        </w:tc>
        <w:tc>
          <w:tcPr>
            <w:tcW w:w="6379" w:type="dxa"/>
            <w:hideMark/>
          </w:tcPr>
          <w:p w:rsidRPr="00D81B95" w:rsidR="00C825DA" w:rsidP="00DC0817" w:rsidRDefault="00C825DA" w14:paraId="0F2D7A78" w14:textId="77777777">
            <w:pPr>
              <w:pStyle w:val="Text"/>
              <w:spacing w:line="256" w:lineRule="auto"/>
              <w:jc w:val="both"/>
              <w:rPr>
                <w:i/>
                <w:lang w:val="es-MX"/>
              </w:rPr>
            </w:pPr>
            <w:r w:rsidRPr="00617336">
              <w:rPr>
                <w:lang w:val="es-MX"/>
              </w:rPr>
              <w:t>Persona física o jurídica, autoridad pública, agencia u otro organismo que procesa Datos Personales en nombre de GRT (es decir, empresas de nómina o proveedores de servicios en la nube).</w:t>
            </w:r>
          </w:p>
        </w:tc>
      </w:tr>
      <w:tr w:rsidRPr="009929C8" w:rsidR="00C825DA" w:rsidTr="00C825DA" w14:paraId="4C4A4738" w14:textId="77777777">
        <w:tc>
          <w:tcPr>
            <w:tcW w:w="2830" w:type="dxa"/>
            <w:hideMark/>
          </w:tcPr>
          <w:p w:rsidRPr="00D81B95" w:rsidR="00C825DA" w:rsidP="00DC0817" w:rsidRDefault="00C825DA" w14:paraId="066BE76C" w14:textId="77777777">
            <w:pPr>
              <w:pStyle w:val="GuidanceNotes"/>
              <w:spacing w:line="256" w:lineRule="auto"/>
              <w:jc w:val="both"/>
              <w:rPr>
                <w:i w:val="0"/>
                <w:color w:val="auto"/>
                <w:lang w:val="es-MX"/>
              </w:rPr>
            </w:pPr>
            <w:r w:rsidRPr="00D81B95">
              <w:rPr>
                <w:i w:val="0"/>
                <w:color w:val="auto"/>
                <w:lang w:val="es-MX"/>
              </w:rPr>
              <w:lastRenderedPageBreak/>
              <w:t>GDPR</w:t>
            </w:r>
          </w:p>
        </w:tc>
        <w:tc>
          <w:tcPr>
            <w:tcW w:w="6379" w:type="dxa"/>
            <w:hideMark/>
          </w:tcPr>
          <w:p w:rsidRPr="00D81B95" w:rsidR="00C825DA" w:rsidP="00DC0817" w:rsidRDefault="00C825DA" w14:paraId="7499D340" w14:textId="77777777">
            <w:pPr>
              <w:pStyle w:val="Text"/>
              <w:spacing w:line="256" w:lineRule="auto"/>
              <w:jc w:val="both"/>
              <w:rPr>
                <w:i/>
                <w:lang w:val="es-MX"/>
              </w:rPr>
            </w:pPr>
            <w:r w:rsidRPr="00617336">
              <w:rPr>
                <w:lang w:val="es-MX"/>
              </w:rPr>
              <w:t>El Reglamento general de protección de datos 2016/679 establece los estándares para la protección de datos personales en los mercados de la Unión Europea y el Espacio Económico Europeo.</w:t>
            </w:r>
          </w:p>
        </w:tc>
      </w:tr>
      <w:tr w:rsidRPr="00D81B95" w:rsidR="00C825DA" w:rsidTr="00C825DA" w14:paraId="3FE7BB97" w14:textId="77777777">
        <w:tc>
          <w:tcPr>
            <w:tcW w:w="2830" w:type="dxa"/>
            <w:hideMark/>
          </w:tcPr>
          <w:p w:rsidRPr="00D81B95" w:rsidR="00C825DA" w:rsidP="00DC0817" w:rsidRDefault="00C825DA" w14:paraId="589B0AAE" w14:textId="77777777">
            <w:pPr>
              <w:pStyle w:val="GuidanceNotes"/>
              <w:spacing w:line="256" w:lineRule="auto"/>
              <w:jc w:val="both"/>
              <w:rPr>
                <w:i w:val="0"/>
                <w:color w:val="auto"/>
                <w:lang w:val="es-MX"/>
              </w:rPr>
            </w:pPr>
            <w:r w:rsidRPr="00D81B95">
              <w:rPr>
                <w:i w:val="0"/>
                <w:color w:val="auto"/>
                <w:lang w:val="es-MX"/>
              </w:rPr>
              <w:t>GRT</w:t>
            </w:r>
          </w:p>
        </w:tc>
        <w:tc>
          <w:tcPr>
            <w:tcW w:w="6379" w:type="dxa"/>
            <w:hideMark/>
          </w:tcPr>
          <w:p w:rsidRPr="00D81B95" w:rsidR="00C825DA" w:rsidP="00DC0817" w:rsidRDefault="00C825DA" w14:paraId="4EF59F29" w14:textId="77777777">
            <w:pPr>
              <w:pStyle w:val="Text"/>
              <w:spacing w:line="256" w:lineRule="auto"/>
              <w:jc w:val="both"/>
              <w:rPr>
                <w:lang w:val="es-MX"/>
              </w:rPr>
            </w:pPr>
            <w:r w:rsidRPr="00617336">
              <w:rPr>
                <w:lang w:val="es-MX"/>
              </w:rPr>
              <w:t>Abreviatura de 'Grünenthal'.</w:t>
            </w:r>
          </w:p>
        </w:tc>
      </w:tr>
      <w:tr w:rsidRPr="009929C8" w:rsidR="00C825DA" w:rsidTr="00C825DA" w14:paraId="7236FD39" w14:textId="77777777">
        <w:tc>
          <w:tcPr>
            <w:tcW w:w="2830" w:type="dxa"/>
            <w:hideMark/>
          </w:tcPr>
          <w:p w:rsidRPr="00D81B95" w:rsidR="00C825DA" w:rsidP="00DC0817" w:rsidRDefault="00C825DA" w14:paraId="38146593" w14:textId="77777777">
            <w:pPr>
              <w:pStyle w:val="GuidanceNotes"/>
              <w:spacing w:line="256" w:lineRule="auto"/>
              <w:jc w:val="both"/>
              <w:rPr>
                <w:i w:val="0"/>
                <w:color w:val="auto"/>
                <w:lang w:val="es-MX"/>
              </w:rPr>
            </w:pPr>
            <w:r w:rsidRPr="001C6BA1">
              <w:rPr>
                <w:i w:val="0"/>
                <w:color w:val="auto"/>
                <w:lang w:val="es-MX"/>
              </w:rPr>
              <w:t>2B A</w:t>
            </w:r>
            <w:r>
              <w:rPr>
                <w:i w:val="0"/>
                <w:color w:val="auto"/>
                <w:lang w:val="es-MX"/>
              </w:rPr>
              <w:t>dvice</w:t>
            </w:r>
            <w:r w:rsidRPr="001C6BA1">
              <w:rPr>
                <w:i w:val="0"/>
                <w:color w:val="auto"/>
                <w:lang w:val="es-MX"/>
              </w:rPr>
              <w:t xml:space="preserve"> PrIME</w:t>
            </w:r>
          </w:p>
        </w:tc>
        <w:tc>
          <w:tcPr>
            <w:tcW w:w="6379" w:type="dxa"/>
            <w:hideMark/>
          </w:tcPr>
          <w:p w:rsidRPr="00617336" w:rsidR="00C825DA" w:rsidP="00DC0817" w:rsidRDefault="00C825DA" w14:paraId="01898A74" w14:textId="77777777">
            <w:pPr>
              <w:pStyle w:val="Text"/>
              <w:spacing w:line="256" w:lineRule="auto"/>
              <w:jc w:val="both"/>
              <w:rPr>
                <w:lang w:val="es-MX"/>
              </w:rPr>
            </w:pPr>
            <w:r w:rsidRPr="00617336">
              <w:rPr>
                <w:lang w:val="es-MX"/>
              </w:rPr>
              <w:t>Registro de actividades de tratamiento de datos personales de GRT.</w:t>
            </w:r>
          </w:p>
          <w:p w:rsidRPr="00617336" w:rsidR="00C825DA" w:rsidP="00DC0817" w:rsidRDefault="00C825DA" w14:paraId="149133A6" w14:textId="77777777">
            <w:pPr>
              <w:pStyle w:val="Text"/>
              <w:spacing w:line="256" w:lineRule="auto"/>
              <w:jc w:val="both"/>
              <w:rPr>
                <w:lang w:val="es-MX"/>
              </w:rPr>
            </w:pPr>
            <w:r w:rsidRPr="00617336">
              <w:rPr>
                <w:lang w:val="es-MX"/>
              </w:rPr>
              <w:t>La información se ingresa en este registro al completar una encuesta en línea que se interconecta con el software.</w:t>
            </w:r>
          </w:p>
          <w:p w:rsidRPr="00D81B95" w:rsidR="00C825DA" w:rsidP="00DC0817" w:rsidRDefault="00C825DA" w14:paraId="217720EE" w14:textId="2B1CA911">
            <w:pPr>
              <w:pStyle w:val="Text"/>
              <w:spacing w:line="256" w:lineRule="auto"/>
              <w:jc w:val="both"/>
              <w:rPr>
                <w:i/>
                <w:lang w:val="es-MX"/>
              </w:rPr>
            </w:pPr>
            <w:r w:rsidRPr="00617336">
              <w:rPr>
                <w:lang w:val="es-MX"/>
              </w:rPr>
              <w:t>El registro está disponible en el enlace:</w:t>
            </w:r>
            <w:r w:rsidRPr="00D81B95">
              <w:rPr>
                <w:lang w:val="es-MX"/>
              </w:rPr>
              <w:t xml:space="preserve"> </w:t>
            </w:r>
            <w:hyperlink w:history="1" r:id="rId9">
              <w:r w:rsidRPr="00D81B95">
                <w:rPr>
                  <w:rStyle w:val="Hipervnculo"/>
                  <w:lang w:val="es-MX"/>
                </w:rPr>
                <w:t>http://2bsecure.grtgroup.com/</w:t>
              </w:r>
            </w:hyperlink>
            <w:r w:rsidRPr="00D81B95">
              <w:rPr>
                <w:lang w:val="es-MX"/>
              </w:rPr>
              <w:t xml:space="preserve"> </w:t>
            </w:r>
          </w:p>
        </w:tc>
      </w:tr>
      <w:tr w:rsidRPr="009929C8" w:rsidR="00C825DA" w:rsidTr="00C825DA" w14:paraId="3523072B" w14:textId="77777777">
        <w:tc>
          <w:tcPr>
            <w:tcW w:w="2830" w:type="dxa"/>
            <w:hideMark/>
          </w:tcPr>
          <w:p w:rsidRPr="00D81B95" w:rsidR="00C825DA" w:rsidP="00DC0817" w:rsidRDefault="00C825DA" w14:paraId="429D6317" w14:textId="77777777">
            <w:pPr>
              <w:pStyle w:val="GuidanceNotes"/>
              <w:spacing w:line="256" w:lineRule="auto"/>
              <w:jc w:val="both"/>
              <w:rPr>
                <w:i w:val="0"/>
                <w:color w:val="auto"/>
                <w:lang w:val="es-MX"/>
              </w:rPr>
            </w:pPr>
            <w:r w:rsidRPr="001C6BA1">
              <w:rPr>
                <w:i w:val="0"/>
                <w:color w:val="auto"/>
                <w:lang w:val="es-MX"/>
              </w:rPr>
              <w:t>Evaluación de impacto de protección de datos</w:t>
            </w:r>
          </w:p>
        </w:tc>
        <w:tc>
          <w:tcPr>
            <w:tcW w:w="6379" w:type="dxa"/>
            <w:hideMark/>
          </w:tcPr>
          <w:p w:rsidRPr="00D81B95" w:rsidR="00C825DA" w:rsidP="00DC0817" w:rsidRDefault="00C825DA" w14:paraId="2AEF3077" w14:textId="77777777">
            <w:pPr>
              <w:pStyle w:val="Text"/>
              <w:spacing w:line="256" w:lineRule="auto"/>
              <w:jc w:val="both"/>
              <w:rPr>
                <w:i/>
                <w:lang w:val="es-MX"/>
              </w:rPr>
            </w:pPr>
            <w:r w:rsidRPr="00617336">
              <w:rPr>
                <w:lang w:val="es-MX"/>
              </w:rPr>
              <w:t>Evaluación que, de acuerdo con el RGPD, siempre debe realizarse cuando una actividad de procesamiento podría resultar en un alto riesgo para los derechos y libertades de las personas físicas, que tiene como objetivo evaluar el impacto que estas operaciones podrían tener en las personas involucradas (es decir, fraude de identidad, daño a la reputación, daño físico, etc.).</w:t>
            </w:r>
          </w:p>
        </w:tc>
      </w:tr>
      <w:tr w:rsidRPr="009929C8" w:rsidR="00C825DA" w:rsidTr="00C825DA" w14:paraId="27E0F645" w14:textId="77777777">
        <w:tc>
          <w:tcPr>
            <w:tcW w:w="2830" w:type="dxa"/>
            <w:hideMark/>
          </w:tcPr>
          <w:p w:rsidRPr="00D81B95" w:rsidR="00C825DA" w:rsidP="00DC0817" w:rsidRDefault="00C825DA" w14:paraId="1BD6D078" w14:textId="77777777">
            <w:pPr>
              <w:pStyle w:val="GuidanceNotes"/>
              <w:spacing w:line="256" w:lineRule="auto"/>
              <w:jc w:val="both"/>
              <w:rPr>
                <w:i w:val="0"/>
                <w:color w:val="auto"/>
                <w:lang w:val="es-MX"/>
              </w:rPr>
            </w:pPr>
            <w:r w:rsidRPr="00617336">
              <w:rPr>
                <w:i w:val="0"/>
                <w:color w:val="auto"/>
                <w:lang w:val="es-MX"/>
              </w:rPr>
              <w:t>Transferencia de datos a un tercer país</w:t>
            </w:r>
          </w:p>
        </w:tc>
        <w:tc>
          <w:tcPr>
            <w:tcW w:w="6379" w:type="dxa"/>
            <w:hideMark/>
          </w:tcPr>
          <w:p w:rsidRPr="00D81B95" w:rsidR="00C825DA" w:rsidP="00DC0817" w:rsidRDefault="00C825DA" w14:paraId="1B0848E3" w14:textId="77777777">
            <w:pPr>
              <w:pStyle w:val="GuidanceNotes"/>
              <w:spacing w:line="256" w:lineRule="auto"/>
              <w:jc w:val="both"/>
              <w:rPr>
                <w:i w:val="0"/>
                <w:color w:val="auto"/>
                <w:lang w:val="es-MX"/>
              </w:rPr>
            </w:pPr>
            <w:r w:rsidRPr="00381815">
              <w:rPr>
                <w:i w:val="0"/>
                <w:color w:val="auto"/>
                <w:lang w:val="es-MX"/>
              </w:rPr>
              <w:t>La transmisión (o la mera divulgación) de datos personales a un tercero (es decir, personas u organizaciones) registrados o establecidos en un país fuera de la UE/ EEE, incluidas las afiliadas o empleados de GRT.</w:t>
            </w:r>
          </w:p>
        </w:tc>
      </w:tr>
      <w:tr w:rsidRPr="009929C8" w:rsidR="00C825DA" w:rsidTr="00C825DA" w14:paraId="02FE3FCF" w14:textId="77777777">
        <w:tc>
          <w:tcPr>
            <w:tcW w:w="2830" w:type="dxa"/>
            <w:hideMark/>
          </w:tcPr>
          <w:p w:rsidRPr="00D81B95" w:rsidR="00C825DA" w:rsidP="00DC0817" w:rsidRDefault="00C825DA" w14:paraId="7C548BAE" w14:textId="77777777">
            <w:pPr>
              <w:pStyle w:val="GuidanceNotes"/>
              <w:spacing w:line="256" w:lineRule="auto"/>
              <w:jc w:val="both"/>
              <w:rPr>
                <w:i w:val="0"/>
                <w:color w:val="auto"/>
                <w:lang w:val="es-MX"/>
              </w:rPr>
            </w:pPr>
            <w:r w:rsidRPr="00617336">
              <w:rPr>
                <w:i w:val="0"/>
                <w:color w:val="auto"/>
                <w:lang w:val="es-MX"/>
              </w:rPr>
              <w:t>Cláusulas contractuales estándar ("CEC")</w:t>
            </w:r>
          </w:p>
        </w:tc>
        <w:tc>
          <w:tcPr>
            <w:tcW w:w="6379" w:type="dxa"/>
            <w:hideMark/>
          </w:tcPr>
          <w:p w:rsidRPr="00D81B95" w:rsidR="00C825DA" w:rsidP="00DC0817" w:rsidRDefault="00C825DA" w14:paraId="527F9183" w14:textId="77777777">
            <w:pPr>
              <w:pStyle w:val="GuidanceNotes"/>
              <w:spacing w:line="256" w:lineRule="auto"/>
              <w:jc w:val="both"/>
              <w:rPr>
                <w:i w:val="0"/>
                <w:color w:val="auto"/>
                <w:lang w:val="es-MX"/>
              </w:rPr>
            </w:pPr>
            <w:r w:rsidRPr="00381815">
              <w:rPr>
                <w:i w:val="0"/>
                <w:color w:val="auto"/>
                <w:lang w:val="es-MX"/>
              </w:rPr>
              <w:t>Disposiciones contractuales redactadas y publicadas por la Comisión Europea que sirven como instrumento legal para garantizar la transferencia legal y segura de datos personales desde dentro de la UE a terceros países.</w:t>
            </w:r>
          </w:p>
        </w:tc>
      </w:tr>
    </w:tbl>
    <w:p w:rsidR="00636B8B" w:rsidP="00054252" w:rsidRDefault="00636B8B" w14:paraId="3F2FB25C" w14:textId="77777777">
      <w:pPr>
        <w:pStyle w:val="Text"/>
      </w:pPr>
    </w:p>
    <w:p w:rsidRPr="00C825DA" w:rsidR="00C825DA" w:rsidP="00C825DA" w:rsidRDefault="00D56F14" w14:paraId="5E948D6B" w14:textId="32093553">
      <w:pPr>
        <w:pStyle w:val="Ttulo1"/>
      </w:pPr>
      <w:r w:rsidRPr="00054252">
        <w:t>Proceso</w:t>
      </w:r>
    </w:p>
    <w:p w:rsidRPr="00C825DA" w:rsidR="00C825DA" w:rsidP="00C825DA" w:rsidRDefault="00C825DA" w14:paraId="5FCD0F19" w14:textId="77777777">
      <w:pPr>
        <w:pStyle w:val="Text"/>
        <w:numPr>
          <w:ilvl w:val="1"/>
          <w:numId w:val="1"/>
        </w:numPr>
        <w:rPr>
          <w:b/>
          <w:bCs/>
          <w:lang w:val="es-MX"/>
        </w:rPr>
      </w:pPr>
      <w:r w:rsidRPr="00C825DA">
        <w:rPr>
          <w:b/>
          <w:bCs/>
          <w:lang w:val="es-MX"/>
        </w:rPr>
        <w:t>Registro de actividades de tratamiento de Datos Personales “2B Advice PrIME”</w:t>
      </w:r>
    </w:p>
    <w:p w:rsidRPr="00C825DA" w:rsidR="00C825DA" w:rsidP="00C825DA" w:rsidRDefault="00C825DA" w14:paraId="58C914C3" w14:textId="77777777">
      <w:pPr>
        <w:pStyle w:val="Text"/>
        <w:jc w:val="both"/>
        <w:rPr>
          <w:lang w:val="es-MX"/>
        </w:rPr>
      </w:pPr>
      <w:r w:rsidRPr="00C825DA">
        <w:rPr>
          <w:lang w:val="es-MX"/>
        </w:rPr>
        <w:t xml:space="preserve">Casi todos los empleados manejan datos personales en sus actividades profesionales diarias. El Tratamiento de Datos Personales tiene lugar, por ejemplo, cuando información como nombres de personas, datos de contacto, números de seguridad social, opiniones personales, grabaciones de video o audio, datos de salud u otro tipo de Datos Personales, son utilizados internamente o por terceras partes, en nombre de GRT. </w:t>
      </w:r>
    </w:p>
    <w:p w:rsidRPr="00C825DA" w:rsidR="00C825DA" w:rsidP="00C825DA" w:rsidRDefault="00C825DA" w14:paraId="352E5F26" w14:textId="77777777">
      <w:pPr>
        <w:pStyle w:val="Text"/>
        <w:jc w:val="both"/>
        <w:rPr>
          <w:lang w:val="es-MX"/>
        </w:rPr>
      </w:pPr>
    </w:p>
    <w:p w:rsidRPr="00C825DA" w:rsidR="00C825DA" w:rsidP="00C825DA" w:rsidRDefault="00C825DA" w14:paraId="4F04F445" w14:textId="77777777">
      <w:pPr>
        <w:pStyle w:val="Text"/>
        <w:jc w:val="both"/>
        <w:rPr>
          <w:lang w:val="es-MX"/>
        </w:rPr>
      </w:pPr>
      <w:r w:rsidRPr="00C825DA">
        <w:rPr>
          <w:lang w:val="es-MX"/>
        </w:rPr>
        <w:t xml:space="preserve">Cada actividad de procesamiento (planificada) que involucre el procesamiento de datos personales debe registrarse en el registro de actividades de procesamiento de GRT “2B Advice PrIME”. </w:t>
      </w:r>
    </w:p>
    <w:p w:rsidRPr="00C825DA" w:rsidR="00C825DA" w:rsidP="00C825DA" w:rsidRDefault="00C825DA" w14:paraId="0C1BCF24" w14:textId="77777777">
      <w:pPr>
        <w:pStyle w:val="Text"/>
        <w:jc w:val="both"/>
        <w:rPr>
          <w:lang w:val="es-MX"/>
        </w:rPr>
      </w:pPr>
    </w:p>
    <w:p w:rsidRPr="00C825DA" w:rsidR="00C825DA" w:rsidP="00C825DA" w:rsidRDefault="00C825DA" w14:paraId="21E643EA" w14:textId="77777777">
      <w:pPr>
        <w:pStyle w:val="Text"/>
        <w:jc w:val="both"/>
        <w:rPr>
          <w:lang w:val="es-MX"/>
        </w:rPr>
      </w:pPr>
      <w:r w:rsidRPr="00C825DA">
        <w:rPr>
          <w:lang w:val="es-MX"/>
        </w:rPr>
        <w:lastRenderedPageBreak/>
        <w:t>El establecimiento y mantenimiento de este registro es un requisito legal y permite a GRT mantener una visión general de todas las actividades de procesamiento. También permite a GRT detectar posibles incumplimientos en el manejo de datos personales y reaccionar rápidamente en caso de que, por ejemplo, se materialice una violación de datos o si las personas ejercen sus derechos de privacidad de datos. La información registrada en el “2B Advice PrIME” también debe proporcionarse a las Autoridades de Protección de Datos si así lo solicitan.</w:t>
      </w:r>
    </w:p>
    <w:p w:rsidRPr="00C825DA" w:rsidR="00C825DA" w:rsidP="00C825DA" w:rsidRDefault="00C825DA" w14:paraId="19C82574" w14:textId="77777777">
      <w:pPr>
        <w:pStyle w:val="Text"/>
        <w:jc w:val="both"/>
        <w:rPr>
          <w:lang w:val="es-MX"/>
        </w:rPr>
      </w:pPr>
    </w:p>
    <w:p w:rsidRPr="00C825DA" w:rsidR="00C825DA" w:rsidP="00C825DA" w:rsidRDefault="00C825DA" w14:paraId="2E518485" w14:textId="77777777">
      <w:pPr>
        <w:pStyle w:val="Text"/>
        <w:jc w:val="both"/>
        <w:rPr>
          <w:lang w:val="es-MX"/>
        </w:rPr>
      </w:pPr>
      <w:r w:rsidRPr="00C825DA">
        <w:rPr>
          <w:lang w:val="es-MX"/>
        </w:rPr>
        <w:t xml:space="preserve">Por lo tanto, cada vez que se planifica una nueva actividad de procesamiento de Datos Personales, o es necesario modificar una actividad de procesamiento existente, su iniciador o el Coordinador de Protección de Datos (si está designado), debe notificar al Equipo de Protección de Datos. El equipo de protección de datos enviará la encuesta en línea al iniciador o al coordinador de protección de datos para que la complete. </w:t>
      </w:r>
    </w:p>
    <w:p w:rsidRPr="00C825DA" w:rsidR="00C825DA" w:rsidP="00C825DA" w:rsidRDefault="00C825DA" w14:paraId="0855B0B2" w14:textId="77777777">
      <w:pPr>
        <w:pStyle w:val="Text"/>
        <w:jc w:val="both"/>
        <w:rPr>
          <w:lang w:val="es-MX"/>
        </w:rPr>
      </w:pPr>
    </w:p>
    <w:p w:rsidRPr="00C825DA" w:rsidR="00C825DA" w:rsidP="00C825DA" w:rsidRDefault="00C825DA" w14:paraId="5A684FFD" w14:textId="77777777">
      <w:pPr>
        <w:pStyle w:val="Text"/>
        <w:jc w:val="both"/>
        <w:rPr>
          <w:lang w:val="es-MX"/>
        </w:rPr>
      </w:pPr>
      <w:r w:rsidRPr="00C825DA">
        <w:rPr>
          <w:lang w:val="es-MX"/>
        </w:rPr>
        <w:t>Una vez completada la encuesta, el Equipo de Protección de Datos debe ser informado por correo electrónico (dataprivacy.de@grunenthal.com). El equipo de protección de datos revisará y aprobará la actividad de procesamiento, si cumple con todos los requisitos de protección de datos aplicables. El Procesamiento de Datos Personales no está permitido hasta que la entrada correspondiente sea aprobada por el Equipo de Protección de Datos y el Proveedor de TI sea aprobado por Global IT, de acuerdo con el PROC-003393 Calificación de Proveedores de TI, en su caso.</w:t>
      </w:r>
    </w:p>
    <w:p w:rsidRPr="00C825DA" w:rsidR="00C825DA" w:rsidP="00C825DA" w:rsidRDefault="00C825DA" w14:paraId="6ED18702" w14:textId="77777777">
      <w:pPr>
        <w:pStyle w:val="Text"/>
        <w:jc w:val="both"/>
        <w:rPr>
          <w:lang w:val="es-MX"/>
        </w:rPr>
      </w:pPr>
    </w:p>
    <w:p w:rsidRPr="00C825DA" w:rsidR="00C825DA" w:rsidP="00C825DA" w:rsidRDefault="00C825DA" w14:paraId="7735395B" w14:textId="77777777">
      <w:pPr>
        <w:pStyle w:val="Text"/>
        <w:jc w:val="both"/>
        <w:rPr>
          <w:lang w:val="es-MX"/>
        </w:rPr>
      </w:pPr>
      <w:r w:rsidRPr="00C825DA">
        <w:rPr>
          <w:lang w:val="es-MX"/>
        </w:rPr>
        <w:t>La revisión por parte del equipo de protección de datos tiene como objetivo garantizar que el procesamiento de datos personales cumpla con las leyes de protección de datos, que los datos reciban un nivel adecuado de protección y que los derechos de las personas interesadas se conserven adecuadamente.</w:t>
      </w:r>
    </w:p>
    <w:p w:rsidRPr="00C825DA" w:rsidR="00C825DA" w:rsidP="00C825DA" w:rsidRDefault="00C825DA" w14:paraId="4FE64BF9" w14:textId="77777777">
      <w:pPr>
        <w:pStyle w:val="Text"/>
        <w:jc w:val="both"/>
        <w:rPr>
          <w:lang w:val="es-MX"/>
        </w:rPr>
      </w:pPr>
    </w:p>
    <w:p w:rsidRPr="00C825DA" w:rsidR="00C825DA" w:rsidP="00C825DA" w:rsidRDefault="00C825DA" w14:paraId="50FD694C" w14:textId="77777777">
      <w:pPr>
        <w:pStyle w:val="Text"/>
        <w:jc w:val="both"/>
        <w:rPr>
          <w:lang w:val="es-MX"/>
        </w:rPr>
      </w:pPr>
      <w:r w:rsidRPr="00C825DA">
        <w:rPr>
          <w:lang w:val="es-MX"/>
        </w:rPr>
        <w:t>El equipo de protección de datos puede proponer que se implementen medidas adicionales antes de que se pueda iniciar la actividad de procesamiento de datos personales. El iniciador de la actividad de tratamiento o, alternativamente, el Coordinador de Protección de Datos correspondiente, será el responsable de la efectiva implementación de tales medidas. Esta responsabilidad se documentará en “2B Advice PrIME”.</w:t>
      </w:r>
    </w:p>
    <w:p w:rsidRPr="00C825DA" w:rsidR="00C825DA" w:rsidP="00C825DA" w:rsidRDefault="00C825DA" w14:paraId="24BD5A49" w14:textId="77777777">
      <w:pPr>
        <w:pStyle w:val="Text"/>
        <w:rPr>
          <w:lang w:val="es-MX"/>
        </w:rPr>
      </w:pPr>
    </w:p>
    <w:p w:rsidRPr="00C825DA" w:rsidR="00C825DA" w:rsidP="00C825DA" w:rsidRDefault="00C825DA" w14:paraId="0F3D558D" w14:textId="77777777">
      <w:pPr>
        <w:pStyle w:val="Text"/>
        <w:numPr>
          <w:ilvl w:val="1"/>
          <w:numId w:val="1"/>
        </w:numPr>
        <w:rPr>
          <w:b/>
          <w:bCs/>
          <w:lang w:val="es-MX"/>
        </w:rPr>
      </w:pPr>
      <w:r w:rsidRPr="00C825DA">
        <w:rPr>
          <w:b/>
          <w:bCs/>
          <w:lang w:val="es-MX"/>
        </w:rPr>
        <w:t>Evaluaciones del impacto de la protección de datos</w:t>
      </w:r>
    </w:p>
    <w:p w:rsidRPr="00C825DA" w:rsidR="00C825DA" w:rsidP="00C825DA" w:rsidRDefault="00C825DA" w14:paraId="3F07AA16" w14:textId="77777777">
      <w:pPr>
        <w:pStyle w:val="Text"/>
        <w:jc w:val="both"/>
        <w:rPr>
          <w:lang w:val="es-MX"/>
        </w:rPr>
      </w:pPr>
      <w:r w:rsidRPr="00C825DA">
        <w:rPr>
          <w:lang w:val="es-MX"/>
        </w:rPr>
        <w:t xml:space="preserve">Si una actividad de procesamiento puede resultar en un alto riesgo para los derechos y libertades de los Interesados, la ejecución de una Evaluación de Impacto de Protección de Datos de acuerdo con el Art. 35 GDPR es obligatorio. Esta evaluación sirve para evaluar el impacto que las operaciones previstas podrían tener en los Interesados (p. Ej., Fraude de identidad, daño a la reputación, daño físico, etc.) y para definir medidas de mitigación para minimizar dichos riesgos. </w:t>
      </w:r>
    </w:p>
    <w:p w:rsidRPr="00C825DA" w:rsidR="00C825DA" w:rsidP="00C825DA" w:rsidRDefault="00C825DA" w14:paraId="2414D9BF" w14:textId="77777777">
      <w:pPr>
        <w:pStyle w:val="Text"/>
        <w:jc w:val="both"/>
        <w:rPr>
          <w:lang w:val="es-MX"/>
        </w:rPr>
      </w:pPr>
    </w:p>
    <w:p w:rsidRPr="00C825DA" w:rsidR="00C825DA" w:rsidP="00C825DA" w:rsidRDefault="00C825DA" w14:paraId="4EF2405D" w14:textId="77777777">
      <w:pPr>
        <w:pStyle w:val="Text"/>
        <w:jc w:val="both"/>
        <w:rPr>
          <w:lang w:val="es-MX"/>
        </w:rPr>
      </w:pPr>
      <w:r w:rsidRPr="00C825DA">
        <w:rPr>
          <w:lang w:val="es-MX"/>
        </w:rPr>
        <w:lastRenderedPageBreak/>
        <w:t>Una actividad de procesamiento de datos personales probablemente puede resultar en un alto riesgo para los derechos y libertades de las personas físicas si (entre otros):</w:t>
      </w:r>
    </w:p>
    <w:p w:rsidRPr="00C825DA" w:rsidR="00C825DA" w:rsidP="00C825DA" w:rsidRDefault="00C825DA" w14:paraId="3E9C10AB" w14:textId="77777777">
      <w:pPr>
        <w:pStyle w:val="Text"/>
        <w:numPr>
          <w:ilvl w:val="0"/>
          <w:numId w:val="11"/>
        </w:numPr>
        <w:jc w:val="both"/>
        <w:rPr>
          <w:lang w:val="es-MX"/>
        </w:rPr>
      </w:pPr>
      <w:r w:rsidRPr="00C825DA">
        <w:rPr>
          <w:lang w:val="es-MX"/>
        </w:rPr>
        <w:t xml:space="preserve">Implica </w:t>
      </w:r>
      <w:r w:rsidRPr="00C825DA">
        <w:rPr>
          <w:b/>
          <w:bCs/>
          <w:lang w:val="es-MX"/>
        </w:rPr>
        <w:t>una evaluación sistemática y extensa de los aspectos personales</w:t>
      </w:r>
      <w:r w:rsidRPr="00C825DA">
        <w:rPr>
          <w:lang w:val="es-MX"/>
        </w:rPr>
        <w:t xml:space="preserve"> relacionados con las personas físicas </w:t>
      </w:r>
      <w:r w:rsidRPr="00C825DA">
        <w:rPr>
          <w:b/>
          <w:bCs/>
          <w:lang w:val="es-MX"/>
        </w:rPr>
        <w:t>utilizando un tratamiento automatizado</w:t>
      </w:r>
      <w:r w:rsidRPr="00C825DA">
        <w:rPr>
          <w:lang w:val="es-MX"/>
        </w:rPr>
        <w:t xml:space="preserve">, </w:t>
      </w:r>
      <w:r w:rsidRPr="00C825DA">
        <w:rPr>
          <w:b/>
          <w:bCs/>
          <w:lang w:val="es-MX"/>
        </w:rPr>
        <w:t>incluida la elaboración de perfiles</w:t>
      </w:r>
      <w:r w:rsidRPr="00C825DA">
        <w:rPr>
          <w:lang w:val="es-MX"/>
        </w:rPr>
        <w:t>, y en el que se basan las decisiones que producen efectos jurídicos o similares en la persona física; o</w:t>
      </w:r>
    </w:p>
    <w:p w:rsidRPr="00C825DA" w:rsidR="00C825DA" w:rsidP="00C825DA" w:rsidRDefault="00C825DA" w14:paraId="043844A5" w14:textId="77777777">
      <w:pPr>
        <w:pStyle w:val="Text"/>
        <w:numPr>
          <w:ilvl w:val="0"/>
          <w:numId w:val="11"/>
        </w:numPr>
        <w:jc w:val="both"/>
        <w:rPr>
          <w:lang w:val="es-MX"/>
        </w:rPr>
      </w:pPr>
      <w:r w:rsidRPr="00C825DA">
        <w:rPr>
          <w:lang w:val="es-MX"/>
        </w:rPr>
        <w:t xml:space="preserve">Implica el </w:t>
      </w:r>
      <w:r w:rsidRPr="00C825DA">
        <w:rPr>
          <w:b/>
          <w:bCs/>
          <w:lang w:val="es-MX"/>
        </w:rPr>
        <w:t>procesamiento a gran escala de categorías especiales de datos</w:t>
      </w:r>
      <w:r w:rsidRPr="00C825DA">
        <w:rPr>
          <w:lang w:val="es-MX"/>
        </w:rPr>
        <w:t xml:space="preserve">, como los </w:t>
      </w:r>
      <w:r w:rsidRPr="00C825DA">
        <w:rPr>
          <w:b/>
          <w:bCs/>
          <w:lang w:val="es-MX"/>
        </w:rPr>
        <w:t>datos relacionados con la salud</w:t>
      </w:r>
      <w:r w:rsidRPr="00C825DA">
        <w:rPr>
          <w:lang w:val="es-MX"/>
        </w:rPr>
        <w:t>; o</w:t>
      </w:r>
    </w:p>
    <w:p w:rsidRPr="00C825DA" w:rsidR="00C825DA" w:rsidP="00C825DA" w:rsidRDefault="00C825DA" w14:paraId="7DAE1D38" w14:textId="77777777">
      <w:pPr>
        <w:pStyle w:val="Text"/>
        <w:numPr>
          <w:ilvl w:val="0"/>
          <w:numId w:val="11"/>
        </w:numPr>
        <w:jc w:val="both"/>
        <w:rPr>
          <w:lang w:val="es-MX"/>
        </w:rPr>
      </w:pPr>
      <w:r w:rsidRPr="00C825DA">
        <w:rPr>
          <w:lang w:val="es-MX"/>
        </w:rPr>
        <w:t xml:space="preserve">Se trata de la </w:t>
      </w:r>
      <w:r w:rsidRPr="00C825DA">
        <w:rPr>
          <w:b/>
          <w:bCs/>
          <w:lang w:val="es-MX"/>
        </w:rPr>
        <w:t>vigilancia sistemática de una zona de acceso público a gran escala</w:t>
      </w:r>
      <w:r w:rsidRPr="00C825DA">
        <w:rPr>
          <w:lang w:val="es-MX"/>
        </w:rPr>
        <w:t xml:space="preserve"> (por ejemplo, el uso de circuito cerrado de televisión "CCTV").</w:t>
      </w:r>
    </w:p>
    <w:p w:rsidRPr="00C825DA" w:rsidR="00C825DA" w:rsidP="00C825DA" w:rsidRDefault="00C825DA" w14:paraId="1BA3DECA" w14:textId="77777777">
      <w:pPr>
        <w:pStyle w:val="Text"/>
        <w:jc w:val="both"/>
        <w:rPr>
          <w:lang w:val="es-MX"/>
        </w:rPr>
      </w:pPr>
    </w:p>
    <w:p w:rsidRPr="00C825DA" w:rsidR="00C825DA" w:rsidP="00C825DA" w:rsidRDefault="00C825DA" w14:paraId="78A69F28" w14:textId="77777777">
      <w:pPr>
        <w:pStyle w:val="Text"/>
        <w:jc w:val="both"/>
        <w:rPr>
          <w:lang w:val="es-MX"/>
        </w:rPr>
      </w:pPr>
      <w:r w:rsidRPr="00C825DA">
        <w:rPr>
          <w:lang w:val="es-MX"/>
        </w:rPr>
        <w:t xml:space="preserve">Las Evaluaciones de Impacto de Protección de Datos deben ser realizadas por el Equipo de Protección de Datos en estrecha alineación con el iniciador de la actividad o, si es designado, el Coordinador de Protección de Datos correspondiente. </w:t>
      </w:r>
      <w:r w:rsidRPr="00C825DA">
        <w:rPr>
          <w:b/>
          <w:bCs/>
          <w:lang w:val="es-MX"/>
        </w:rPr>
        <w:t>La evaluación siempre debe realizarse antes de que se inicien actividades relacionadas con los datos personales.</w:t>
      </w:r>
      <w:r w:rsidRPr="00C825DA">
        <w:rPr>
          <w:lang w:val="es-MX"/>
        </w:rPr>
        <w:t xml:space="preserve"> </w:t>
      </w:r>
    </w:p>
    <w:p w:rsidRPr="00C825DA" w:rsidR="00C825DA" w:rsidP="00C825DA" w:rsidRDefault="00C825DA" w14:paraId="2B34AF14" w14:textId="77777777">
      <w:pPr>
        <w:pStyle w:val="Text"/>
        <w:jc w:val="both"/>
        <w:rPr>
          <w:lang w:val="es-MX"/>
        </w:rPr>
      </w:pPr>
    </w:p>
    <w:p w:rsidRPr="00C825DA" w:rsidR="00C825DA" w:rsidP="00C825DA" w:rsidRDefault="00C825DA" w14:paraId="1F2D5B53" w14:textId="77777777">
      <w:pPr>
        <w:pStyle w:val="Text"/>
        <w:jc w:val="both"/>
        <w:rPr>
          <w:lang w:val="es-MX"/>
        </w:rPr>
      </w:pPr>
      <w:bookmarkStart w:name="_Hlk68623786" w:id="0"/>
      <w:r w:rsidRPr="00C825DA">
        <w:rPr>
          <w:lang w:val="es-MX"/>
        </w:rPr>
        <w:t>Cuando los resultados de la evaluación indiquen que el tratamiento resultaría en un alto riesgo, el Equipo de Protección de Datos asesorará al iniciador de la actividad o, en su caso, al Coordinador de Protección de Datos, sobre la implementación de medidas de mitigación adicionales para reducir el riesgo. La actividad de tratamiento solo se permitirá en la medida en que el Equipo de Protección de Datos considere que el riesgo se ha reducido a un nivel aceptable.</w:t>
      </w:r>
    </w:p>
    <w:p w:rsidRPr="00C825DA" w:rsidR="00C825DA" w:rsidP="00C825DA" w:rsidRDefault="00C825DA" w14:paraId="2A153673" w14:textId="77777777">
      <w:pPr>
        <w:pStyle w:val="Text"/>
        <w:jc w:val="both"/>
        <w:rPr>
          <w:lang w:val="es-MX"/>
        </w:rPr>
      </w:pPr>
    </w:p>
    <w:bookmarkEnd w:id="0"/>
    <w:p w:rsidRPr="00C825DA" w:rsidR="00C825DA" w:rsidP="00C825DA" w:rsidRDefault="00C825DA" w14:paraId="0AD6B591" w14:textId="77777777">
      <w:pPr>
        <w:pStyle w:val="Text"/>
        <w:jc w:val="both"/>
        <w:rPr>
          <w:lang w:val="es-MX"/>
        </w:rPr>
      </w:pPr>
      <w:r w:rsidRPr="00C825DA">
        <w:rPr>
          <w:lang w:val="es-MX"/>
        </w:rPr>
        <w:t xml:space="preserve">Si, a pesar de las medidas implementadas para reducir el riesgo, los resultados de la evaluación aún indican que el procesamiento daría lugar a un alto riesgo, se debe consultar previamente a las Autoridades de Protección de Datos. En ese caso, el Abogado General y el Miembro de la Junta Ejecutiva responsable del área en cuestión también deben aprobar la actividad de procesamiento antes de que el Equipo de Protección de Datos se acerque a las Autoridades de Protección de Datos. </w:t>
      </w:r>
    </w:p>
    <w:p w:rsidRPr="00C825DA" w:rsidR="00C825DA" w:rsidP="00C825DA" w:rsidRDefault="00C825DA" w14:paraId="6A0042B5" w14:textId="77777777">
      <w:pPr>
        <w:pStyle w:val="Text"/>
        <w:jc w:val="both"/>
        <w:rPr>
          <w:lang w:val="es-MX"/>
        </w:rPr>
      </w:pPr>
    </w:p>
    <w:p w:rsidRPr="00C825DA" w:rsidR="00C825DA" w:rsidP="00C825DA" w:rsidRDefault="00C825DA" w14:paraId="270BFB16" w14:textId="77777777">
      <w:pPr>
        <w:pStyle w:val="Text"/>
        <w:jc w:val="both"/>
        <w:rPr>
          <w:lang w:val="es-MX"/>
        </w:rPr>
      </w:pPr>
      <w:r w:rsidRPr="00C825DA">
        <w:rPr>
          <w:lang w:val="es-MX"/>
        </w:rPr>
        <w:t xml:space="preserve">Si dicha consulta se considera necesaria, el Equipo de Protección de Datos ayudará al Abogado General y al Miembro de la Junta Ejecutiva responsable del área en cuestión a alinearse con las Autoridades de Protección de Datos. El Equipo de Protección de Datos también asesorará sobre si se debe buscar la opinión de las personas afectadas por la actividad de procesamiento. </w:t>
      </w:r>
    </w:p>
    <w:p w:rsidRPr="00C825DA" w:rsidR="00C825DA" w:rsidP="00C825DA" w:rsidRDefault="00C825DA" w14:paraId="11AC52F6" w14:textId="77777777">
      <w:pPr>
        <w:pStyle w:val="Text"/>
        <w:rPr>
          <w:lang w:val="es-MX"/>
        </w:rPr>
      </w:pPr>
    </w:p>
    <w:p w:rsidRPr="00C825DA" w:rsidR="00C825DA" w:rsidP="00C825DA" w:rsidRDefault="00C825DA" w14:paraId="1AF76449" w14:textId="77777777">
      <w:pPr>
        <w:pStyle w:val="Text"/>
        <w:numPr>
          <w:ilvl w:val="1"/>
          <w:numId w:val="1"/>
        </w:numPr>
        <w:rPr>
          <w:b/>
          <w:bCs/>
          <w:lang w:val="es-MX"/>
        </w:rPr>
      </w:pPr>
      <w:r w:rsidRPr="00C825DA">
        <w:rPr>
          <w:b/>
          <w:bCs/>
          <w:lang w:val="es-MX"/>
        </w:rPr>
        <w:t>Tratamiento de datos personales por parte de terceros</w:t>
      </w:r>
    </w:p>
    <w:p w:rsidRPr="00C825DA" w:rsidR="00C825DA" w:rsidP="00C825DA" w:rsidRDefault="00C825DA" w14:paraId="1FCF11D9" w14:textId="77777777">
      <w:pPr>
        <w:pStyle w:val="Text"/>
        <w:jc w:val="both"/>
        <w:rPr>
          <w:lang w:val="es-MX"/>
        </w:rPr>
      </w:pPr>
      <w:r w:rsidRPr="00C825DA">
        <w:rPr>
          <w:lang w:val="es-MX"/>
        </w:rPr>
        <w:t xml:space="preserve">Los terceros pueden referirse a proveedores de servicios, clientes, afiliados de GRT, autoridades y, en general, cualquier individuo u organización diferente de la entidad de GRT (o los empleados) que inician la actividad de procesamiento de Datos Personales. Los interesados tampoco se consideran terceros. </w:t>
      </w:r>
    </w:p>
    <w:p w:rsidRPr="00C825DA" w:rsidR="00C825DA" w:rsidP="00C825DA" w:rsidRDefault="00C825DA" w14:paraId="65EC76B0" w14:textId="77777777">
      <w:pPr>
        <w:pStyle w:val="Text"/>
        <w:jc w:val="both"/>
        <w:rPr>
          <w:lang w:val="es-MX"/>
        </w:rPr>
      </w:pPr>
    </w:p>
    <w:p w:rsidRPr="00C825DA" w:rsidR="00C825DA" w:rsidP="00C825DA" w:rsidRDefault="00C825DA" w14:paraId="3B923B5E" w14:textId="77777777">
      <w:pPr>
        <w:pStyle w:val="Text"/>
        <w:jc w:val="both"/>
        <w:rPr>
          <w:lang w:val="es-MX"/>
        </w:rPr>
      </w:pPr>
      <w:r w:rsidRPr="00C825DA">
        <w:rPr>
          <w:lang w:val="es-MX"/>
        </w:rPr>
        <w:lastRenderedPageBreak/>
        <w:t xml:space="preserve">La transferencia de datos personales a terceros, o el procesamiento de estos datos por parte de terceros, siempre debe ser capturada en “2B Advice PrIME” y previamente aprobada por el Equipo de Protección de Datos, de acuerdo con este PNO, y por Global IT, en alineación con el PROC-003393 Calificación de proveedores de TI, cuando corresponda. A continuación, el Equipo de Protección de Datos indicará el formato de contrato adecuado que debe celebrarse con el tercero correspondiente. </w:t>
      </w:r>
    </w:p>
    <w:p w:rsidRPr="00C825DA" w:rsidR="00C825DA" w:rsidP="00C825DA" w:rsidRDefault="00C825DA" w14:paraId="73FC6188" w14:textId="77777777">
      <w:pPr>
        <w:pStyle w:val="Text"/>
        <w:jc w:val="both"/>
        <w:rPr>
          <w:lang w:val="es-MX"/>
        </w:rPr>
      </w:pPr>
    </w:p>
    <w:p w:rsidRPr="00C825DA" w:rsidR="00C825DA" w:rsidP="00C825DA" w:rsidRDefault="00C825DA" w14:paraId="34369D30" w14:textId="77777777">
      <w:pPr>
        <w:pStyle w:val="Text"/>
        <w:jc w:val="both"/>
        <w:rPr>
          <w:lang w:val="es-MX"/>
        </w:rPr>
      </w:pPr>
      <w:r w:rsidRPr="00C825DA">
        <w:rPr>
          <w:lang w:val="es-MX"/>
        </w:rPr>
        <w:t>Siempre que el tercero actúe como Procesador de Datos, un Acuerdo de Procesamiento de Datos ("DPA") de acuerdo con el art. 28 GDPR siempre debe ser celebrado con dicha parte, por el iniciador / solicitante (empleado) con el apoyo del Equipo de Protección de Datos. La orden no debe ejecutarse sin un DPA firmado y aprobado.</w:t>
      </w:r>
    </w:p>
    <w:p w:rsidRPr="00C825DA" w:rsidR="00C825DA" w:rsidP="00C825DA" w:rsidRDefault="00C825DA" w14:paraId="2E38FACD" w14:textId="77777777">
      <w:pPr>
        <w:pStyle w:val="Text"/>
        <w:rPr>
          <w:lang w:val="es-MX"/>
        </w:rPr>
      </w:pPr>
    </w:p>
    <w:p w:rsidRPr="00C825DA" w:rsidR="00C825DA" w:rsidP="00C825DA" w:rsidRDefault="00C825DA" w14:paraId="5AFA656F" w14:textId="77777777">
      <w:pPr>
        <w:pStyle w:val="Text"/>
        <w:numPr>
          <w:ilvl w:val="1"/>
          <w:numId w:val="1"/>
        </w:numPr>
        <w:rPr>
          <w:b/>
          <w:bCs/>
          <w:lang w:val="es-MX"/>
        </w:rPr>
      </w:pPr>
      <w:r w:rsidRPr="00C825DA">
        <w:rPr>
          <w:b/>
          <w:bCs/>
          <w:lang w:val="es-MX"/>
        </w:rPr>
        <w:t>Transferencias de datos fuera de la UE</w:t>
      </w:r>
    </w:p>
    <w:p w:rsidRPr="00C825DA" w:rsidR="00C825DA" w:rsidP="00C825DA" w:rsidRDefault="00C825DA" w14:paraId="531240CB" w14:textId="77777777">
      <w:pPr>
        <w:pStyle w:val="Text"/>
        <w:jc w:val="both"/>
        <w:rPr>
          <w:lang w:val="es-MX"/>
        </w:rPr>
      </w:pPr>
      <w:r w:rsidRPr="00C825DA">
        <w:rPr>
          <w:lang w:val="es-MX"/>
        </w:rPr>
        <w:t>Las transferencias de datos se refieren a la transmisión de datos personales a terceros, registrados o establecidos fuera de la UE. También se refieren a la mera divulgación de datos personales a personas u organizaciones fuera de la UE, incluso si los datos todavía se almacenan en la UE. En este contexto, las filiales de GRT fuera de la UE también se consideran terceros.</w:t>
      </w:r>
    </w:p>
    <w:p w:rsidRPr="00C825DA" w:rsidR="00C825DA" w:rsidP="00C825DA" w:rsidRDefault="00C825DA" w14:paraId="7E4C940B" w14:textId="77777777">
      <w:pPr>
        <w:pStyle w:val="Text"/>
        <w:jc w:val="both"/>
        <w:rPr>
          <w:lang w:val="es-MX"/>
        </w:rPr>
      </w:pPr>
    </w:p>
    <w:p w:rsidRPr="00C825DA" w:rsidR="00C825DA" w:rsidP="00C825DA" w:rsidRDefault="00C825DA" w14:paraId="5AD86434" w14:textId="77777777">
      <w:pPr>
        <w:pStyle w:val="Text"/>
        <w:jc w:val="both"/>
        <w:rPr>
          <w:lang w:val="es-MX"/>
        </w:rPr>
      </w:pPr>
      <w:r w:rsidRPr="00C825DA">
        <w:rPr>
          <w:lang w:val="es-MX"/>
        </w:rPr>
        <w:t>El procesamiento de datos personales a un tercer país en el contexto de las actividades de GRT siempre debe ir acompañado de medidas que garanticen un nivel adecuado de protección de datos en el país del destinatario (= importador de datos). Tales medidas pueden ser, por ejemplo, las Cláusulas Contractuales Tipo ("CEC") según lo dispuesto por la Comisión de la UE, así como otras medidas técnicas y organizativas.</w:t>
      </w:r>
    </w:p>
    <w:p w:rsidRPr="00C825DA" w:rsidR="00C825DA" w:rsidP="00C825DA" w:rsidRDefault="00C825DA" w14:paraId="3A89029F" w14:textId="77777777">
      <w:pPr>
        <w:pStyle w:val="Text"/>
        <w:jc w:val="both"/>
        <w:rPr>
          <w:lang w:val="es-MX"/>
        </w:rPr>
      </w:pPr>
    </w:p>
    <w:p w:rsidRPr="00C825DA" w:rsidR="00C825DA" w:rsidP="00C825DA" w:rsidRDefault="00C825DA" w14:paraId="35365E89" w14:textId="77777777">
      <w:pPr>
        <w:pStyle w:val="Text"/>
        <w:jc w:val="both"/>
        <w:rPr>
          <w:lang w:val="es-MX"/>
        </w:rPr>
      </w:pPr>
      <w:r w:rsidRPr="00C825DA">
        <w:rPr>
          <w:lang w:val="es-MX"/>
        </w:rPr>
        <w:t xml:space="preserve">Además, las leyes del país del importador de datos deben ser evaluadas por GRT. Esta evaluación sirve para determinar si estas leyes proporcionan un nivel de protección esencialmente equivalente a los Datos personales como si los datos fueran procesados en la UE. En este escenario, el Equipo de Protección de Datos instruirá al empleado correspondiente para que envíe un “cuestionario para importadores de datos” al importador de datos (además de los contratos aplicables). Las respuestas proporcionadas por el importador de datos serán revisadas por el Equipo de Protección de Datos, quien luego emitirá una opinión sobre si las leyes del país del importador de datos brindan el nivel de protección requerido. </w:t>
      </w:r>
    </w:p>
    <w:p w:rsidRPr="00C825DA" w:rsidR="00C825DA" w:rsidP="00C825DA" w:rsidRDefault="00C825DA" w14:paraId="01D58045" w14:textId="77777777">
      <w:pPr>
        <w:pStyle w:val="Text"/>
        <w:jc w:val="both"/>
        <w:rPr>
          <w:lang w:val="es-MX"/>
        </w:rPr>
      </w:pPr>
    </w:p>
    <w:p w:rsidRPr="00C825DA" w:rsidR="00C825DA" w:rsidP="00C825DA" w:rsidRDefault="00C825DA" w14:paraId="76A68A04" w14:textId="77777777">
      <w:pPr>
        <w:pStyle w:val="Text"/>
        <w:jc w:val="both"/>
        <w:rPr>
          <w:lang w:val="es-MX"/>
        </w:rPr>
      </w:pPr>
      <w:r w:rsidRPr="00C825DA">
        <w:rPr>
          <w:lang w:val="es-MX"/>
        </w:rPr>
        <w:t xml:space="preserve">Si la evaluación no da como resultado </w:t>
      </w:r>
      <w:r w:rsidRPr="00C825DA">
        <w:rPr>
          <w:b/>
          <w:bCs/>
          <w:lang w:val="es-MX"/>
        </w:rPr>
        <w:t>un nivel de protección esencialmente equivalente al de los Datos Personales en cuestión</w:t>
      </w:r>
      <w:r w:rsidRPr="00C825DA">
        <w:rPr>
          <w:lang w:val="es-MX"/>
        </w:rPr>
        <w:t>, el Equipo de Protección de Datos evaluará las características de la actividad de procesamiento, tales como:</w:t>
      </w:r>
    </w:p>
    <w:p w:rsidRPr="00C825DA" w:rsidR="00C825DA" w:rsidP="00C825DA" w:rsidRDefault="00C825DA" w14:paraId="6E09A913" w14:textId="77777777">
      <w:pPr>
        <w:pStyle w:val="Text"/>
        <w:rPr>
          <w:lang w:val="es-MX"/>
        </w:rPr>
      </w:pPr>
    </w:p>
    <w:p w:rsidRPr="00C825DA" w:rsidR="00C825DA" w:rsidP="00C825DA" w:rsidRDefault="00C825DA" w14:paraId="03A824C8" w14:textId="77777777">
      <w:pPr>
        <w:pStyle w:val="Text"/>
        <w:numPr>
          <w:ilvl w:val="0"/>
          <w:numId w:val="12"/>
        </w:numPr>
        <w:rPr>
          <w:lang w:val="es-MX"/>
        </w:rPr>
      </w:pPr>
      <w:r w:rsidRPr="00C825DA">
        <w:rPr>
          <w:lang w:val="es-MX"/>
        </w:rPr>
        <w:t>La sensibilidad de los datos personales procesados</w:t>
      </w:r>
    </w:p>
    <w:p w:rsidRPr="00C825DA" w:rsidR="00C825DA" w:rsidP="00C825DA" w:rsidRDefault="00C825DA" w14:paraId="6497CF44" w14:textId="77777777">
      <w:pPr>
        <w:pStyle w:val="Text"/>
        <w:numPr>
          <w:ilvl w:val="0"/>
          <w:numId w:val="12"/>
        </w:numPr>
        <w:rPr>
          <w:lang w:val="es-MX"/>
        </w:rPr>
      </w:pPr>
      <w:r w:rsidRPr="00C825DA">
        <w:rPr>
          <w:lang w:val="es-MX"/>
        </w:rPr>
        <w:t>La ubicación de los centros de datos</w:t>
      </w:r>
    </w:p>
    <w:p w:rsidRPr="00C825DA" w:rsidR="00C825DA" w:rsidP="00C825DA" w:rsidRDefault="00C825DA" w14:paraId="2EF74FE7" w14:textId="77777777">
      <w:pPr>
        <w:pStyle w:val="Text"/>
        <w:numPr>
          <w:ilvl w:val="0"/>
          <w:numId w:val="12"/>
        </w:numPr>
        <w:rPr>
          <w:lang w:val="es-MX"/>
        </w:rPr>
      </w:pPr>
      <w:r w:rsidRPr="00C825DA">
        <w:rPr>
          <w:lang w:val="es-MX"/>
        </w:rPr>
        <w:lastRenderedPageBreak/>
        <w:t>Si el importador de datos tendrá acceso a datos personales "sin procesar".</w:t>
      </w:r>
    </w:p>
    <w:p w:rsidRPr="00C825DA" w:rsidR="00C825DA" w:rsidP="00C825DA" w:rsidRDefault="00C825DA" w14:paraId="60C10F7B" w14:textId="77777777">
      <w:pPr>
        <w:pStyle w:val="Text"/>
        <w:numPr>
          <w:ilvl w:val="0"/>
          <w:numId w:val="12"/>
        </w:numPr>
        <w:rPr>
          <w:lang w:val="es-MX"/>
        </w:rPr>
      </w:pPr>
      <w:r w:rsidRPr="00C825DA">
        <w:rPr>
          <w:lang w:val="es-MX"/>
        </w:rPr>
        <w:t>Si existen medidas adecuadas para proteger los Datos personales</w:t>
      </w:r>
    </w:p>
    <w:p w:rsidRPr="00C825DA" w:rsidR="00C825DA" w:rsidP="00C825DA" w:rsidRDefault="00C825DA" w14:paraId="697BD539" w14:textId="77777777">
      <w:pPr>
        <w:pStyle w:val="Text"/>
        <w:numPr>
          <w:ilvl w:val="0"/>
          <w:numId w:val="12"/>
        </w:numPr>
        <w:rPr>
          <w:lang w:val="es-MX"/>
        </w:rPr>
      </w:pPr>
      <w:r w:rsidRPr="00C825DA">
        <w:rPr>
          <w:lang w:val="es-MX"/>
        </w:rPr>
        <w:t>La criticidad empresarial del servicio.</w:t>
      </w:r>
    </w:p>
    <w:p w:rsidRPr="00C825DA" w:rsidR="00C825DA" w:rsidP="00C825DA" w:rsidRDefault="00C825DA" w14:paraId="4EAFC8FE" w14:textId="77777777">
      <w:pPr>
        <w:pStyle w:val="Text"/>
        <w:numPr>
          <w:ilvl w:val="0"/>
          <w:numId w:val="12"/>
        </w:numPr>
        <w:rPr>
          <w:lang w:val="es-MX"/>
        </w:rPr>
      </w:pPr>
      <w:r w:rsidRPr="00C825DA">
        <w:rPr>
          <w:lang w:val="es-MX"/>
        </w:rPr>
        <w:t>La existencia de terceros alternativos en la UE</w:t>
      </w:r>
    </w:p>
    <w:p w:rsidRPr="00C825DA" w:rsidR="00C825DA" w:rsidP="00C825DA" w:rsidRDefault="00C825DA" w14:paraId="48BE9795" w14:textId="77777777">
      <w:pPr>
        <w:pStyle w:val="Text"/>
        <w:rPr>
          <w:lang w:val="es-MX"/>
        </w:rPr>
      </w:pPr>
    </w:p>
    <w:p w:rsidRPr="00C825DA" w:rsidR="00C825DA" w:rsidP="00C825DA" w:rsidRDefault="00C825DA" w14:paraId="52CA0AC4" w14:textId="77777777">
      <w:pPr>
        <w:pStyle w:val="Text"/>
        <w:jc w:val="both"/>
        <w:rPr>
          <w:lang w:val="es-MX"/>
        </w:rPr>
      </w:pPr>
      <w:r w:rsidRPr="00C825DA">
        <w:rPr>
          <w:lang w:val="es-MX"/>
        </w:rPr>
        <w:t xml:space="preserve">El equipo de protección de datos puede asesorar sobre la implementación de medidas de mitigación adicionales para reducir los riesgos identificados como resultado de la transferencia potencial. </w:t>
      </w:r>
    </w:p>
    <w:p w:rsidRPr="00C825DA" w:rsidR="00C825DA" w:rsidP="00C825DA" w:rsidRDefault="00C825DA" w14:paraId="2C0BE0AA" w14:textId="77777777">
      <w:pPr>
        <w:pStyle w:val="Text"/>
        <w:jc w:val="both"/>
        <w:rPr>
          <w:lang w:val="es-MX"/>
        </w:rPr>
      </w:pPr>
    </w:p>
    <w:p w:rsidRPr="00C825DA" w:rsidR="00C825DA" w:rsidP="00C825DA" w:rsidRDefault="00C825DA" w14:paraId="5EB69CF8" w14:textId="77777777">
      <w:pPr>
        <w:pStyle w:val="Text"/>
        <w:jc w:val="both"/>
        <w:rPr>
          <w:lang w:val="es-MX"/>
        </w:rPr>
      </w:pPr>
      <w:r w:rsidRPr="00C825DA">
        <w:rPr>
          <w:lang w:val="es-MX"/>
        </w:rPr>
        <w:t>Si, a pesar de las medidas propuestas e implementadas, el Equipo de Protección de Datos aún considera que la actividad de procesamiento es un alto riesgo para los derechos y libertades de las personas involucradas, la transferencia de datos solo se puede ejecutar si es aprobada por el Asesor Jurídico y el Miembro de la Junta Ejecutiva responsable. para el área en cuestión.</w:t>
      </w:r>
    </w:p>
    <w:p w:rsidRPr="00C825DA" w:rsidR="00C825DA" w:rsidP="00C825DA" w:rsidRDefault="00C825DA" w14:paraId="1EB0AD50" w14:textId="77777777">
      <w:pPr>
        <w:pStyle w:val="Text"/>
        <w:rPr>
          <w:rFonts w:eastAsiaTheme="minorHAnsi"/>
          <w:lang w:val="es-MX"/>
        </w:rPr>
      </w:pPr>
    </w:p>
    <w:p w:rsidRPr="00C825DA" w:rsidR="00C825DA" w:rsidP="00C825DA" w:rsidRDefault="00C825DA" w14:paraId="7AF59A05" w14:textId="77777777">
      <w:pPr>
        <w:pStyle w:val="Text"/>
        <w:numPr>
          <w:ilvl w:val="1"/>
          <w:numId w:val="1"/>
        </w:numPr>
        <w:rPr>
          <w:b/>
          <w:bCs/>
          <w:lang w:val="es-MX"/>
        </w:rPr>
      </w:pPr>
      <w:bookmarkStart w:name="_Hlk69890818" w:id="1"/>
      <w:r w:rsidRPr="00C825DA">
        <w:rPr>
          <w:b/>
          <w:bCs/>
          <w:lang w:val="es-MX"/>
        </w:rPr>
        <w:t>Plantillas y formularios necesarios para el proceso</w:t>
      </w:r>
    </w:p>
    <w:p w:rsidRPr="00C825DA" w:rsidR="00C825DA" w:rsidP="00C825DA" w:rsidRDefault="00C825DA" w14:paraId="3B22A85B" w14:textId="77777777">
      <w:pPr>
        <w:pStyle w:val="Text"/>
        <w:numPr>
          <w:ilvl w:val="0"/>
          <w:numId w:val="13"/>
        </w:numPr>
        <w:rPr>
          <w:lang w:val="es-MX"/>
        </w:rPr>
      </w:pPr>
      <w:r w:rsidRPr="00C825DA">
        <w:rPr>
          <w:lang w:val="es-MX"/>
        </w:rPr>
        <w:t>Diagrama de flujo de procesamiento de datos personales dentro de la UE</w:t>
      </w:r>
    </w:p>
    <w:p w:rsidRPr="00C825DA" w:rsidR="00C825DA" w:rsidP="00C825DA" w:rsidRDefault="00C825DA" w14:paraId="3BA16C52" w14:textId="77777777">
      <w:pPr>
        <w:pStyle w:val="Text"/>
        <w:numPr>
          <w:ilvl w:val="0"/>
          <w:numId w:val="13"/>
        </w:numPr>
        <w:rPr>
          <w:lang w:val="es-MX"/>
        </w:rPr>
      </w:pPr>
      <w:r w:rsidRPr="00C825DA">
        <w:rPr>
          <w:lang w:val="es-MX"/>
        </w:rPr>
        <w:t>Diagrama de flujo de procesamiento de datos personales fuera de la UE</w:t>
      </w:r>
    </w:p>
    <w:p w:rsidRPr="00C825DA" w:rsidR="00C825DA" w:rsidP="00C825DA" w:rsidRDefault="00C825DA" w14:paraId="3AC567A5" w14:textId="77777777">
      <w:pPr>
        <w:pStyle w:val="Text"/>
        <w:numPr>
          <w:ilvl w:val="0"/>
          <w:numId w:val="13"/>
        </w:numPr>
        <w:rPr>
          <w:lang w:val="es-MX"/>
        </w:rPr>
      </w:pPr>
      <w:r w:rsidRPr="00C825DA">
        <w:rPr>
          <w:lang w:val="es-MX"/>
        </w:rPr>
        <w:t>Plantillas de protección de datos GRT</w:t>
      </w:r>
    </w:p>
    <w:p w:rsidRPr="00C825DA" w:rsidR="00C825DA" w:rsidP="00C825DA" w:rsidRDefault="00C825DA" w14:paraId="42260753" w14:textId="77777777">
      <w:pPr>
        <w:pStyle w:val="Text"/>
        <w:numPr>
          <w:ilvl w:val="0"/>
          <w:numId w:val="13"/>
        </w:numPr>
        <w:rPr>
          <w:lang w:val="es-MX"/>
        </w:rPr>
      </w:pPr>
      <w:r w:rsidRPr="00C825DA">
        <w:rPr>
          <w:lang w:val="es-MX"/>
        </w:rPr>
        <w:t>Cuestionario para importadores de datos</w:t>
      </w:r>
    </w:p>
    <w:p w:rsidRPr="00C825DA" w:rsidR="00C825DA" w:rsidP="00C825DA" w:rsidRDefault="00C825DA" w14:paraId="47F3C196" w14:textId="77777777">
      <w:pPr>
        <w:pStyle w:val="Text"/>
        <w:numPr>
          <w:ilvl w:val="0"/>
          <w:numId w:val="13"/>
        </w:numPr>
        <w:rPr>
          <w:lang w:val="es-MX"/>
        </w:rPr>
      </w:pPr>
      <w:r w:rsidRPr="00C825DA">
        <w:rPr>
          <w:lang w:val="es-MX"/>
        </w:rPr>
        <w:t>Preguntas frecuentes y diagrama de flujo_2B Advice</w:t>
      </w:r>
    </w:p>
    <w:p w:rsidRPr="00C825DA" w:rsidR="00C825DA" w:rsidP="00C825DA" w:rsidRDefault="00C825DA" w14:paraId="6D566770" w14:textId="77777777">
      <w:pPr>
        <w:pStyle w:val="Text"/>
        <w:jc w:val="both"/>
        <w:rPr>
          <w:lang w:val="es-MX"/>
        </w:rPr>
      </w:pPr>
    </w:p>
    <w:p w:rsidRPr="00C825DA" w:rsidR="00C825DA" w:rsidP="00C825DA" w:rsidRDefault="00C825DA" w14:paraId="5B7BB031" w14:textId="5CA4A3DC">
      <w:pPr>
        <w:pStyle w:val="Text"/>
        <w:jc w:val="both"/>
        <w:rPr>
          <w:lang w:val="es-MX"/>
        </w:rPr>
      </w:pPr>
      <w:r w:rsidRPr="00C825DA">
        <w:rPr>
          <w:lang w:val="es-MX"/>
        </w:rPr>
        <w:t xml:space="preserve">Se puede encontrar en la Página de “Cumplimiento Global” en la Intranet o en los enlaces de la Infocard de este PNO. </w:t>
      </w:r>
      <w:bookmarkEnd w:id="1"/>
    </w:p>
    <w:p w:rsidRPr="00C825DA" w:rsidR="008267D0" w:rsidP="00054252" w:rsidRDefault="008267D0" w14:paraId="7D588D25" w14:textId="77777777">
      <w:pPr>
        <w:pStyle w:val="Text"/>
        <w:rPr>
          <w:lang w:val="es-MX"/>
        </w:rPr>
      </w:pPr>
    </w:p>
    <w:p w:rsidR="00D56F14" w:rsidP="00054252" w:rsidRDefault="00D56F14" w14:paraId="44B4A12B" w14:textId="393082B4">
      <w:pPr>
        <w:pStyle w:val="Ttulo1"/>
      </w:pPr>
      <w:r w:rsidRPr="00054252">
        <w:t>Referencias</w:t>
      </w:r>
    </w:p>
    <w:p w:rsidRPr="00D81B95" w:rsidR="00C825DA" w:rsidP="00C825DA" w:rsidRDefault="00C825DA" w14:paraId="13F5A461" w14:textId="77777777">
      <w:pPr>
        <w:pStyle w:val="Text"/>
        <w:rPr>
          <w:lang w:val="es-MX"/>
        </w:rPr>
      </w:pPr>
      <w:r w:rsidRPr="009D4A3B">
        <w:rPr>
          <w:lang w:val="es-MX"/>
        </w:rPr>
        <w:t>PROC-003393 Calificación del proveedor de TI</w:t>
      </w:r>
    </w:p>
    <w:p w:rsidRPr="00C825DA" w:rsidR="00C825DA" w:rsidP="00C825DA" w:rsidRDefault="00C825DA" w14:paraId="1512F960" w14:textId="77777777">
      <w:pPr>
        <w:rPr>
          <w:lang w:val="es-MX" w:eastAsia="de-DE"/>
        </w:rPr>
      </w:pPr>
    </w:p>
    <w:p w:rsidRPr="005103C1" w:rsidR="005103C1" w:rsidP="00054252" w:rsidRDefault="00C825DA" w14:paraId="522A7524" w14:textId="4BB679BB">
      <w:pPr>
        <w:pStyle w:val="Ttulo1"/>
      </w:pPr>
      <w:r>
        <w:rPr>
          <w:lang w:val="es-MX"/>
        </w:rPr>
        <w:t>Í</w:t>
      </w:r>
      <w:proofErr w:type="spellStart"/>
      <w:r w:rsidRPr="00054252" w:rsidR="00AA61B1">
        <w:t>ndice</w:t>
      </w:r>
      <w:proofErr w:type="spellEnd"/>
      <w:r w:rsidR="00AA61B1">
        <w:t xml:space="preserve"> Histórico</w:t>
      </w:r>
    </w:p>
    <w:tbl>
      <w:tblPr>
        <w:tblW w:w="892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70" w:type="dxa"/>
          <w:right w:w="70" w:type="dxa"/>
        </w:tblCellMar>
        <w:tblLook w:val="0000" w:firstRow="0" w:lastRow="0" w:firstColumn="0" w:lastColumn="0" w:noHBand="0" w:noVBand="0"/>
      </w:tblPr>
      <w:tblGrid>
        <w:gridCol w:w="2405"/>
        <w:gridCol w:w="6521"/>
      </w:tblGrid>
      <w:tr w:rsidRPr="00D81B95" w:rsidR="00C825DA" w:rsidTr="00DC0817" w14:paraId="0B49F643" w14:textId="77777777">
        <w:trPr>
          <w:tblHeader/>
        </w:trPr>
        <w:tc>
          <w:tcPr>
            <w:tcW w:w="2405" w:type="dxa"/>
            <w:vAlign w:val="center"/>
          </w:tcPr>
          <w:p w:rsidRPr="009D4A3B" w:rsidR="00C825DA" w:rsidP="00DC0817" w:rsidRDefault="00C825DA" w14:paraId="22D1316A" w14:textId="77777777">
            <w:pPr>
              <w:pStyle w:val="Table-1row"/>
              <w:jc w:val="left"/>
              <w:rPr>
                <w:lang w:val="es-MX" w:eastAsia="de-DE"/>
              </w:rPr>
            </w:pPr>
            <w:bookmarkStart w:name="_Hlk43972639" w:id="2"/>
            <w:r w:rsidRPr="009D4A3B">
              <w:rPr>
                <w:lang w:val="es-MX" w:eastAsia="de-DE"/>
              </w:rPr>
              <w:t>No. de revisión</w:t>
            </w:r>
          </w:p>
        </w:tc>
        <w:tc>
          <w:tcPr>
            <w:tcW w:w="6521" w:type="dxa"/>
            <w:vAlign w:val="center"/>
          </w:tcPr>
          <w:p w:rsidRPr="009D4A3B" w:rsidR="00C825DA" w:rsidP="00DC0817" w:rsidRDefault="00C825DA" w14:paraId="4E617172" w14:textId="77777777">
            <w:pPr>
              <w:pStyle w:val="Table-1row"/>
              <w:jc w:val="left"/>
              <w:rPr>
                <w:lang w:val="es-MX" w:eastAsia="de-DE"/>
              </w:rPr>
            </w:pPr>
            <w:r w:rsidRPr="009D4A3B">
              <w:rPr>
                <w:lang w:val="es-MX" w:eastAsia="de-DE"/>
              </w:rPr>
              <w:t>Descripción de los cambios</w:t>
            </w:r>
          </w:p>
        </w:tc>
      </w:tr>
      <w:tr w:rsidRPr="00D81B95" w:rsidR="00C825DA" w:rsidTr="00DC0817" w14:paraId="496BE0A6" w14:textId="77777777">
        <w:tc>
          <w:tcPr>
            <w:tcW w:w="2405" w:type="dxa"/>
          </w:tcPr>
          <w:p w:rsidRPr="00D81B95" w:rsidR="00C825DA" w:rsidP="00DC0817" w:rsidRDefault="00C825DA" w14:paraId="2F7925A2" w14:textId="77777777">
            <w:pPr>
              <w:pStyle w:val="Table-Text"/>
              <w:rPr>
                <w:lang w:val="es-MX" w:eastAsia="de-DE"/>
              </w:rPr>
            </w:pPr>
            <w:r w:rsidRPr="00D81B95">
              <w:rPr>
                <w:lang w:val="es-MX" w:eastAsia="de-DE"/>
              </w:rPr>
              <w:t>01</w:t>
            </w:r>
          </w:p>
        </w:tc>
        <w:tc>
          <w:tcPr>
            <w:tcW w:w="6521" w:type="dxa"/>
          </w:tcPr>
          <w:p w:rsidRPr="00D81B95" w:rsidR="00C825DA" w:rsidP="00DC0817" w:rsidRDefault="00C825DA" w14:paraId="55A581A8" w14:textId="77777777">
            <w:pPr>
              <w:pStyle w:val="Table-Text"/>
              <w:rPr>
                <w:lang w:val="es-MX" w:eastAsia="de-DE"/>
              </w:rPr>
            </w:pPr>
            <w:r>
              <w:rPr>
                <w:lang w:val="es-MX" w:eastAsia="de-DE"/>
              </w:rPr>
              <w:t>Documento nuevo</w:t>
            </w:r>
          </w:p>
        </w:tc>
      </w:tr>
      <w:bookmarkEnd w:id="2"/>
    </w:tbl>
    <w:p w:rsidRPr="00C825DA" w:rsidR="003A2BE2" w:rsidP="2143547D" w:rsidRDefault="003A2BE2" w14:paraId="3DFFDFA1" w14:textId="77777777">
      <w:pPr>
        <w:pStyle w:val="Normal"/>
        <w:rPr>
          <w:lang w:val="es-MX"/>
        </w:rPr>
      </w:pPr>
    </w:p>
    <w:p w:rsidRPr="009F7C85" w:rsidR="003A2BE2" w:rsidP="2143547D" w:rsidRDefault="00593C70" w14:paraId="1C32FF34" w14:textId="6B34F4D9">
      <w:pPr>
        <w:pStyle w:val="Ttulo1"/>
        <w:numPr>
          <w:ilvl w:val="0"/>
          <w:numId w:val="0"/>
        </w:numPr>
        <w:ind w:left="0" w:hanging="0"/>
        <w:rPr>
          <w:color w:val="4472C4" w:themeColor="accent1" w:themeTint="FF" w:themeShade="FF"/>
        </w:rPr>
      </w:pPr>
      <w:r w:rsidRPr="2143547D" w:rsidR="2143547D">
        <w:rPr>
          <w:color w:val="4472C4" w:themeColor="accent1" w:themeTint="FF" w:themeShade="FF"/>
        </w:rPr>
        <w:t xml:space="preserve">8 </w:t>
      </w:r>
      <w:r w:rsidRPr="2143547D" w:rsidR="2143547D">
        <w:rPr>
          <w:color w:val="4472C4" w:themeColor="accent1" w:themeTint="FF" w:themeShade="FF"/>
        </w:rPr>
        <w:t>Apéndice</w:t>
      </w:r>
      <w:r w:rsidRPr="2143547D" w:rsidR="2143547D">
        <w:rPr>
          <w:color w:val="4472C4" w:themeColor="accent1" w:themeTint="FF" w:themeShade="FF"/>
        </w:rPr>
        <w:t xml:space="preserve"> 1: México. </w:t>
      </w:r>
    </w:p>
    <w:p w:rsidRPr="009F7C85" w:rsidR="00465D91" w:rsidP="2143547D" w:rsidRDefault="00465D91" w14:paraId="3228CF10" w14:textId="11BB8159">
      <w:pPr>
        <w:pStyle w:val="Ttulo2"/>
        <w:numPr>
          <w:ilvl w:val="0"/>
          <w:numId w:val="0"/>
        </w:numPr>
        <w:rPr>
          <w:color w:val="4472C4" w:themeColor="accent1" w:themeTint="FF" w:themeShade="FF"/>
        </w:rPr>
      </w:pPr>
      <w:r w:rsidRPr="2143547D" w:rsidR="2143547D">
        <w:rPr>
          <w:color w:val="4472C4" w:themeColor="accent1" w:themeTint="FF" w:themeShade="FF"/>
        </w:rPr>
        <w:t xml:space="preserve">8.1 </w:t>
      </w:r>
      <w:r w:rsidRPr="2143547D" w:rsidR="2143547D">
        <w:rPr>
          <w:color w:val="4472C4" w:themeColor="accent1" w:themeTint="FF" w:themeShade="FF"/>
        </w:rPr>
        <w:t>Objetivo</w:t>
      </w:r>
    </w:p>
    <w:p w:rsidRPr="009F7C85" w:rsidR="00465D91" w:rsidP="2143547D" w:rsidRDefault="00465D91" w14:paraId="7E54ED8C" w14:textId="349EEBDF">
      <w:pPr>
        <w:pStyle w:val="Ttulo2"/>
        <w:numPr>
          <w:ilvl w:val="0"/>
          <w:numId w:val="0"/>
        </w:numPr>
        <w:jc w:val="both"/>
        <w:rPr>
          <w:rStyle w:val="Textoennegrita"/>
          <w:rFonts w:ascii="Arial" w:hAnsi="Arial" w:cs="Arial"/>
          <w:b w:val="0"/>
          <w:bCs w:val="0"/>
          <w:color w:val="4472C4" w:themeColor="accent1" w:themeTint="FF" w:themeShade="FF"/>
          <w:sz w:val="24"/>
          <w:szCs w:val="24"/>
          <w:lang w:val="es-ES"/>
        </w:rPr>
      </w:pPr>
      <w:r w:rsidRPr="2143547D" w:rsidR="2143547D">
        <w:rPr>
          <w:rStyle w:val="Textoennegrita"/>
          <w:rFonts w:ascii="Arial" w:hAnsi="Arial" w:cs="Arial"/>
          <w:b w:val="0"/>
          <w:bCs w:val="0"/>
          <w:color w:val="4472C4" w:themeColor="accent1" w:themeTint="FF" w:themeShade="FF"/>
          <w:sz w:val="24"/>
          <w:szCs w:val="24"/>
          <w:lang w:val="es-ES"/>
        </w:rPr>
        <w:t>El</w:t>
      </w:r>
      <w:r w:rsidRPr="2143547D" w:rsidR="2143547D">
        <w:rPr>
          <w:rStyle w:val="Textoennegrita"/>
          <w:rFonts w:ascii="Arial" w:hAnsi="Arial" w:cs="Arial"/>
          <w:b w:val="0"/>
          <w:bCs w:val="0"/>
          <w:color w:val="4472C4" w:themeColor="accent1" w:themeTint="FF" w:themeShade="FF"/>
          <w:sz w:val="24"/>
          <w:szCs w:val="24"/>
          <w:lang w:val="es-ES"/>
        </w:rPr>
        <w:t xml:space="preserve"> presente Apéndice tiene por objeto adaptar la Política Global para el Tratamiento de Datos Personales de </w:t>
      </w:r>
      <w:r w:rsidRPr="2143547D" w:rsidR="2143547D">
        <w:rPr>
          <w:rStyle w:val="Textoennegrita"/>
          <w:rFonts w:ascii="Arial" w:hAnsi="Arial" w:cs="Arial"/>
          <w:b w:val="0"/>
          <w:bCs w:val="0"/>
          <w:color w:val="4472C4" w:themeColor="accent1" w:themeTint="FF" w:themeShade="FF"/>
          <w:sz w:val="24"/>
          <w:szCs w:val="24"/>
          <w:lang w:val="es-ES"/>
        </w:rPr>
        <w:t>Grünenthal</w:t>
      </w:r>
      <w:r w:rsidRPr="2143547D" w:rsidR="2143547D">
        <w:rPr>
          <w:rStyle w:val="Textoennegrita"/>
          <w:rFonts w:ascii="Arial" w:hAnsi="Arial" w:cs="Arial"/>
          <w:b w:val="0"/>
          <w:bCs w:val="0"/>
          <w:color w:val="4472C4" w:themeColor="accent1" w:themeTint="FF" w:themeShade="FF"/>
          <w:sz w:val="24"/>
          <w:szCs w:val="24"/>
          <w:lang w:val="es-ES"/>
        </w:rPr>
        <w:t xml:space="preserve"> a la normativa mexicana en materia de protección de datos personales, garantizando su plena conformidad con la Ley Federal de Protección de Datos Personales en Posesión de los Particulares (LFPDPPP) y con las demás disposiciones aplicables.</w:t>
      </w:r>
    </w:p>
    <w:p w:rsidRPr="009F7C85" w:rsidR="00C72F52" w:rsidP="2143547D" w:rsidRDefault="00CE342F" w14:paraId="35950686" w14:textId="3124E841">
      <w:pPr>
        <w:pStyle w:val="Ttulo2"/>
        <w:numPr>
          <w:ilvl w:val="0"/>
          <w:numId w:val="0"/>
        </w:numPr>
        <w:ind w:left="0" w:hanging="0"/>
        <w:rPr>
          <w:color w:val="4472C4" w:themeColor="accent1" w:themeTint="FF" w:themeShade="FF"/>
        </w:rPr>
      </w:pPr>
      <w:r w:rsidRPr="2143547D" w:rsidR="2143547D">
        <w:rPr>
          <w:color w:val="4472C4" w:themeColor="accent1" w:themeTint="FF" w:themeShade="FF"/>
        </w:rPr>
        <w:t xml:space="preserve">8.2 Alcance. </w:t>
      </w:r>
    </w:p>
    <w:p w:rsidRPr="009F7C85" w:rsidR="00465D91" w:rsidP="2143547D" w:rsidRDefault="00465D91" w14:paraId="084B26F2" w14:textId="04157A93">
      <w:pPr>
        <w:pStyle w:val="NormalWeb"/>
        <w:jc w:val="both"/>
        <w:rPr>
          <w:rStyle w:val="Textoennegrita"/>
          <w:rFonts w:ascii="Arial" w:hAnsi="Arial" w:eastAsia="Calibri" w:cs="Arial" w:eastAsiaTheme="minorAscii"/>
          <w:b w:val="0"/>
          <w:bCs w:val="0"/>
          <w:color w:val="4472C4" w:themeColor="accent1" w:themeTint="FF" w:themeShade="FF"/>
          <w:lang w:val="es-ES" w:eastAsia="en-US"/>
          <w:rPrChange w:author="" w16du:dateUtc="2025-11-12T17:12:00Z" w:id="690030310">
            <w:rPr/>
          </w:rPrChange>
        </w:rPr>
      </w:pPr>
      <w:r w:rsidRPr="2143547D" w:rsidR="2143547D">
        <w:rPr>
          <w:rStyle w:val="Textoennegrita"/>
          <w:rFonts w:ascii="Arial" w:hAnsi="Arial" w:eastAsia="Calibri" w:cs="Arial" w:eastAsiaTheme="minorAscii"/>
          <w:b w:val="0"/>
          <w:bCs w:val="0"/>
          <w:color w:val="4472C4" w:themeColor="accent1" w:themeTint="FF" w:themeShade="FF"/>
          <w:lang w:val="es-ES" w:eastAsia="en-US"/>
        </w:rPr>
        <w:t>El presente Apéndice, así como los procedimientos establecidos en él, son aplicables a todos los empleados, áreas y procesos de GRT que involucren el tratamiento de datos personales, cuando, por el territorio de origen de los datos, los efectos del tratamiento o cualquier otro criterio previsto en la legislación aplicable o en el derecho internacional, resulte aplicable la normativa mexicana en materia de protección de datos personales.</w:t>
      </w:r>
    </w:p>
    <w:p w:rsidRPr="009F7C85" w:rsidR="006A081F" w:rsidP="2143547D" w:rsidRDefault="006A081F" w14:paraId="305CA8D1" w14:textId="5EAA7240">
      <w:pPr>
        <w:pStyle w:val="NormalWeb"/>
        <w:jc w:val="both"/>
        <w:rPr>
          <w:rStyle w:val="Textoennegrita"/>
          <w:rFonts w:ascii="Arial" w:hAnsi="Arial" w:eastAsia="Calibri" w:cs="Arial" w:eastAsiaTheme="minorAscii"/>
          <w:b w:val="0"/>
          <w:bCs w:val="0"/>
          <w:color w:val="4472C4" w:themeColor="accent1" w:themeTint="FF" w:themeShade="FF"/>
          <w:lang w:val="es-ES" w:eastAsia="en-US"/>
          <w:rPrChange w:author="" w16du:dateUtc="2025-11-12T17:12:00Z" w:id="251205497">
            <w:rPr>
              <w:rStyle w:val="Textoennegrita"/>
              <w:rFonts w:asciiTheme="minorHAnsi" w:hAnsiTheme="minorHAnsi" w:eastAsiaTheme="minorEastAsia" w:cstheme="minorBidi"/>
              <w:b w:val="0"/>
              <w:bCs w:val="0"/>
              <w:sz w:val="22"/>
              <w:szCs w:val="22"/>
              <w:lang w:val="de-DE" w:eastAsia="en-US"/>
            </w:rPr>
          </w:rPrChange>
        </w:rPr>
      </w:pPr>
      <w:r w:rsidRPr="2143547D" w:rsidR="2143547D">
        <w:rPr>
          <w:rStyle w:val="Textoennegrita"/>
          <w:rFonts w:ascii="Arial" w:hAnsi="Arial" w:eastAsia="Calibri" w:cs="Arial" w:eastAsiaTheme="minorAscii"/>
          <w:b w:val="0"/>
          <w:bCs w:val="0"/>
          <w:color w:val="4472C4" w:themeColor="accent1" w:themeTint="FF" w:themeShade="FF"/>
          <w:lang w:val="es-ES" w:eastAsia="en-US"/>
        </w:rPr>
        <w:t>Asimismo, las</w:t>
      </w:r>
      <w:r w:rsidRPr="2143547D" w:rsidR="2143547D">
        <w:rPr>
          <w:rStyle w:val="Textoennegrita"/>
          <w:rFonts w:ascii="Arial" w:hAnsi="Arial" w:eastAsia="Calibri" w:cs="Arial" w:eastAsiaTheme="minorAscii"/>
          <w:color w:val="4472C4" w:themeColor="accent1" w:themeTint="FF" w:themeShade="FF"/>
          <w:lang w:val="es-ES" w:eastAsia="en-US"/>
        </w:rPr>
        <w:t xml:space="preserve"> </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Políticas Globales y el presente Apéndice deberán operar como complemento de las políticas locales en materia de protección de datos personales adoptadas por las filiales de GRT, en particular por </w:t>
      </w:r>
      <w:r w:rsidRPr="2143547D" w:rsidR="2143547D">
        <w:rPr>
          <w:rStyle w:val="Textoennegrita"/>
          <w:rFonts w:ascii="Arial" w:hAnsi="Arial" w:eastAsia="Calibri" w:cs="Arial" w:eastAsiaTheme="minorAscii"/>
          <w:b w:val="0"/>
          <w:bCs w:val="0"/>
          <w:color w:val="4472C4" w:themeColor="accent1" w:themeTint="FF" w:themeShade="FF"/>
          <w:lang w:val="es-ES" w:eastAsia="en-US"/>
        </w:rPr>
        <w:t>Grünenthal</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de México, S.A. de C.V., </w:t>
      </w:r>
      <w:r w:rsidRPr="2143547D" w:rsidR="2143547D">
        <w:rPr>
          <w:rStyle w:val="Textoennegrita"/>
          <w:rFonts w:ascii="Arial" w:hAnsi="Arial" w:cs="Arial"/>
          <w:b w:val="0"/>
          <w:bCs w:val="0"/>
          <w:color w:val="4472C4" w:themeColor="accent1" w:themeTint="FF" w:themeShade="FF"/>
          <w:lang w:val="es-ES"/>
        </w:rPr>
        <w:t>políticas locales que</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desarrolla</w:t>
      </w:r>
      <w:r w:rsidRPr="2143547D" w:rsidR="2143547D">
        <w:rPr>
          <w:rStyle w:val="Textoennegrita"/>
          <w:rFonts w:ascii="Arial" w:hAnsi="Arial" w:cs="Arial"/>
          <w:b w:val="0"/>
          <w:bCs w:val="0"/>
          <w:color w:val="4472C4" w:themeColor="accent1" w:themeTint="FF" w:themeShade="FF"/>
          <w:lang w:val="es-ES"/>
        </w:rPr>
        <w:t>n</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de manera más detallada los roles, procedimientos y metodologías necesarios para garantizar el cumplimiento de la normativa mexicana aplicable en la materia.</w:t>
      </w:r>
    </w:p>
    <w:p w:rsidRPr="009F7C85" w:rsidR="006F0B83" w:rsidP="2143547D" w:rsidRDefault="51989995" w14:paraId="228A6445" w14:textId="318B5E8E">
      <w:pPr>
        <w:pStyle w:val="NormalWeb"/>
        <w:ind w:left="1134" w:hanging="1134"/>
        <w:jc w:val="both"/>
        <w:rPr>
          <w:rStyle w:val="Textoennegrita"/>
          <w:rFonts w:ascii="Arial" w:hAnsi="Arial" w:eastAsia="Calibri" w:cs="Arial" w:eastAsiaTheme="minorAscii"/>
          <w:b w:val="1"/>
          <w:bCs w:val="1"/>
          <w:color w:val="4472C4" w:themeColor="accent1" w:themeTint="FF" w:themeShade="FF"/>
          <w:lang w:eastAsia="en-US"/>
        </w:rPr>
      </w:pPr>
      <w:r w:rsidRPr="2143547D" w:rsidR="2143547D">
        <w:rPr>
          <w:rStyle w:val="Textoennegrita"/>
          <w:rFonts w:ascii="Arial" w:hAnsi="Arial" w:eastAsia="Calibri" w:cs="Arial" w:asciiTheme="minorAscii" w:hAnsiTheme="minorAscii" w:eastAsiaTheme="minorAscii" w:cstheme="minorBidi"/>
          <w:b w:val="1"/>
          <w:bCs w:val="1"/>
          <w:color w:val="4472C4" w:themeColor="accent1" w:themeTint="FF" w:themeShade="FF"/>
          <w:sz w:val="24"/>
          <w:szCs w:val="24"/>
          <w:lang w:val="es-ES" w:eastAsia="en-US" w:bidi="ar-SA"/>
        </w:rPr>
        <w:t xml:space="preserve">8.3 </w:t>
      </w:r>
      <w:r w:rsidRPr="2143547D" w:rsidR="2143547D">
        <w:rPr>
          <w:rStyle w:val="Textoennegrita"/>
          <w:rFonts w:ascii="Arial" w:hAnsi="Arial" w:eastAsia="Calibri" w:cs="Arial" w:asciiTheme="minorAscii" w:hAnsiTheme="minorAscii" w:eastAsiaTheme="minorAscii" w:cstheme="minorBidi"/>
          <w:b w:val="1"/>
          <w:bCs w:val="1"/>
          <w:color w:val="4472C4" w:themeColor="accent1" w:themeTint="FF" w:themeShade="FF"/>
          <w:sz w:val="24"/>
          <w:szCs w:val="24"/>
          <w:lang w:eastAsia="en-US" w:bidi="ar-SA"/>
        </w:rPr>
        <w:t xml:space="preserve">Responsabilidades.  </w:t>
      </w:r>
    </w:p>
    <w:p w:rsidRPr="009F7C85" w:rsidR="00465D91" w:rsidP="2143547D" w:rsidRDefault="00465D91" w14:paraId="2ECC2C47" w14:textId="0FAA3FC0">
      <w:pPr>
        <w:pStyle w:val="NormalWeb"/>
        <w:jc w:val="both"/>
        <w:rPr>
          <w:rStyle w:val="Textoennegrita"/>
          <w:rFonts w:ascii="Arial" w:hAnsi="Arial" w:eastAsia="Calibri" w:cs="Arial" w:eastAsiaTheme="minorAscii"/>
          <w:b w:val="0"/>
          <w:bCs w:val="0"/>
          <w:color w:val="4472C4" w:themeColor="accent1" w:themeTint="FF" w:themeShade="FF"/>
          <w:lang w:val="es-ES" w:eastAsia="en-US"/>
          <w:rPrChange w:author="" w16du:dateUtc="2025-11-12T17:12:00Z" w:id="936209939">
            <w:rPr/>
          </w:rPrChange>
        </w:rPr>
      </w:pPr>
      <w:r w:rsidRPr="2143547D" w:rsidR="2143547D">
        <w:rPr>
          <w:rStyle w:val="Textoennegrita"/>
          <w:rFonts w:ascii="Arial" w:hAnsi="Arial" w:eastAsia="Calibri" w:cs="Arial" w:eastAsiaTheme="minorAscii"/>
          <w:b w:val="0"/>
          <w:bCs w:val="0"/>
          <w:color w:val="4472C4" w:themeColor="accent1" w:themeTint="FF" w:themeShade="FF"/>
          <w:lang w:val="es-ES" w:eastAsia="en-US"/>
        </w:rPr>
        <w:t>La sección 3 “Responsabilidades” de la Política Global de GRT en materia de protección de datos personales establece los roles y funciones que deben asumir diversos miembros y grupos dentro de la organización. Dichas responsabilidades se mantendrán vigentes, con las siguientes adecuaciones específicas:</w:t>
      </w:r>
    </w:p>
    <w:p w:rsidRPr="009F7C85" w:rsidR="00465D91" w:rsidP="2143547D" w:rsidRDefault="00465D91" w14:paraId="73F36B49" w14:textId="157B1A74">
      <w:pPr>
        <w:pStyle w:val="NormalWeb"/>
        <w:numPr>
          <w:ilvl w:val="0"/>
          <w:numId w:val="17"/>
        </w:numPr>
        <w:jc w:val="both"/>
        <w:rPr>
          <w:rStyle w:val="Textoennegrita"/>
          <w:rFonts w:ascii="Arial" w:hAnsi="Arial" w:eastAsia="Calibri" w:cs="Arial" w:eastAsiaTheme="minorAscii"/>
          <w:b w:val="0"/>
          <w:bCs w:val="0"/>
          <w:color w:val="4472C4" w:themeColor="accent1" w:themeTint="FF" w:themeShade="FF"/>
          <w:lang w:val="es-ES" w:eastAsia="en-US"/>
          <w:rPrChange w:author="" w16du:dateUtc="2025-11-12T17:12:00Z" w:id="1555231329">
            <w:rPr/>
          </w:rPrChange>
        </w:rPr>
      </w:pPr>
      <w:r w:rsidRPr="2143547D" w:rsidR="2143547D">
        <w:rPr>
          <w:rStyle w:val="Textoennegrita"/>
          <w:rFonts w:ascii="Arial" w:hAnsi="Arial" w:eastAsia="Calibri" w:cs="Arial" w:eastAsiaTheme="minorAscii"/>
          <w:color w:val="4472C4" w:themeColor="accent1" w:themeTint="FF" w:themeShade="FF"/>
          <w:lang w:val="es-ES" w:eastAsia="en-US"/>
        </w:rPr>
        <w:t>Equipo de Protección de Datos (denominado en México como Departamento de Datos Personales</w:t>
      </w:r>
      <w:r w:rsidRPr="2143547D" w:rsidR="2143547D">
        <w:rPr>
          <w:rStyle w:val="Textoennegrita"/>
          <w:rFonts w:ascii="Arial" w:hAnsi="Arial" w:eastAsia="Calibri" w:cs="Arial" w:eastAsiaTheme="minorAscii"/>
          <w:b w:val="0"/>
          <w:bCs w:val="0"/>
          <w:color w:val="4472C4" w:themeColor="accent1" w:themeTint="FF" w:themeShade="FF"/>
          <w:lang w:val="es-ES" w:eastAsia="en-US"/>
        </w:rPr>
        <w:t>): se incorpora la responsabilidad de recibir, gestionar y hacer efectivas las solicitudes de Derechos ARCO (Acceso, Rectificación, Cancelación y Oposición), conforme a lo dispuesto por la normativa mexicana en materia de protección de datos personales.</w:t>
      </w:r>
    </w:p>
    <w:p w:rsidRPr="009F7C85" w:rsidR="00465D91" w:rsidP="2143547D" w:rsidRDefault="00465D91" w14:paraId="5FB17983" w14:textId="522E3EFD">
      <w:pPr>
        <w:pStyle w:val="NormalWeb"/>
        <w:numPr>
          <w:ilvl w:val="0"/>
          <w:numId w:val="17"/>
        </w:numPr>
        <w:jc w:val="both"/>
        <w:rPr>
          <w:rStyle w:val="Textoennegrita"/>
          <w:rFonts w:ascii="Arial" w:hAnsi="Arial" w:eastAsia="Calibri" w:cs="Arial" w:eastAsiaTheme="minorAscii"/>
          <w:b w:val="0"/>
          <w:bCs w:val="0"/>
          <w:color w:val="4472C4" w:themeColor="accent1" w:themeTint="FF" w:themeShade="FF"/>
          <w:lang w:val="es-ES" w:eastAsia="en-US"/>
          <w:rPrChange w:author="" w16du:dateUtc="2025-11-12T17:12:00Z" w:id="425488615">
            <w:rPr/>
          </w:rPrChange>
        </w:rPr>
      </w:pPr>
      <w:r w:rsidRPr="2143547D" w:rsidR="2143547D">
        <w:rPr>
          <w:rStyle w:val="Textoennegrita"/>
          <w:rFonts w:ascii="Arial" w:hAnsi="Arial" w:eastAsia="Calibri" w:cs="Arial" w:eastAsiaTheme="minorAscii"/>
          <w:color w:val="4472C4" w:themeColor="accent1" w:themeTint="FF" w:themeShade="FF"/>
          <w:lang w:val="es-ES" w:eastAsia="en-US"/>
        </w:rPr>
        <w:t>Abogado General:</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se elimina de sus facultades la aprobación de transferencias internacionales de datos personales, conservando únicamente su facultad de aprobación cuando se trate de datos personales considerados de alto riesgo.</w:t>
      </w:r>
    </w:p>
    <w:p w:rsidRPr="00696453" w:rsidR="00443FE3" w:rsidP="2143547D" w:rsidRDefault="00443FE3" w14:paraId="2133E86B" w14:textId="7DD77C32">
      <w:pPr>
        <w:pStyle w:val="NormalWeb"/>
        <w:numPr>
          <w:ilvl w:val="0"/>
          <w:numId w:val="17"/>
        </w:numPr>
        <w:jc w:val="both"/>
        <w:rPr>
          <w:rFonts w:eastAsia="Calibri" w:eastAsiaTheme="minorAscii"/>
          <w:color w:val="4472C4" w:themeColor="accent1" w:themeTint="FF" w:themeShade="FF"/>
          <w:lang w:eastAsia="en-US"/>
          <w:rPrChange w:author="" w16du:dateUtc="2025-11-12T17:12:00Z" w:id="292292938"/>
        </w:rPr>
      </w:pPr>
      <w:r w:rsidRPr="2143547D" w:rsidR="2143547D">
        <w:rPr>
          <w:rStyle w:val="Textoennegrita"/>
          <w:rFonts w:ascii="Arial" w:hAnsi="Arial" w:eastAsia="Calibri" w:cs="Arial" w:eastAsiaTheme="minorAscii"/>
          <w:color w:val="4472C4" w:themeColor="accent1" w:themeTint="FF" w:themeShade="FF"/>
          <w:lang w:val="es-ES" w:eastAsia="en-US"/>
        </w:rPr>
        <w:t>Miembro de la Junta Ejecutiva responsable de la actividad de tratamiento:</w:t>
      </w:r>
      <w:r w:rsidRPr="2143547D" w:rsidR="2143547D">
        <w:rPr>
          <w:rStyle w:val="Textoennegrita"/>
          <w:rFonts w:eastAsia="Calibri" w:eastAsiaTheme="minorAscii"/>
          <w:color w:val="4472C4" w:themeColor="accent1" w:themeTint="FF" w:themeShade="FF"/>
          <w:lang w:eastAsia="en-US"/>
        </w:rPr>
        <w:t xml:space="preserve"> </w:t>
      </w:r>
      <w:r w:rsidRPr="2143547D" w:rsidR="2143547D">
        <w:rPr>
          <w:rStyle w:val="Textoennegrita"/>
          <w:rFonts w:ascii="Arial" w:hAnsi="Arial" w:eastAsia="Calibri" w:cs="Arial" w:eastAsiaTheme="minorAscii"/>
          <w:b w:val="0"/>
          <w:bCs w:val="0"/>
          <w:color w:val="4472C4" w:themeColor="accent1" w:themeTint="FF" w:themeShade="FF"/>
          <w:lang w:val="es-ES" w:eastAsia="en-US"/>
        </w:rPr>
        <w:t>se suprime igualmente la facultad de aprobación de transferencias internacionales de datos personales, manteniéndose solo su aprobación en los casos de datos personales de alto riesgo.</w:t>
      </w:r>
    </w:p>
    <w:p w:rsidRPr="00C93C28" w:rsidR="00B638A1" w:rsidP="2143547D" w:rsidRDefault="00B638A1" w14:paraId="05E93F91" w14:textId="09A92747">
      <w:pPr>
        <w:pStyle w:val="Ttulo2"/>
        <w:numPr>
          <w:ilvl w:val="0"/>
          <w:numId w:val="0"/>
        </w:numPr>
        <w:ind w:left="0" w:hanging="0"/>
        <w:rPr>
          <w:color w:val="4472C4" w:themeColor="accent1" w:themeTint="FF" w:themeShade="FF"/>
        </w:rPr>
      </w:pPr>
      <w:r w:rsidRPr="2143547D" w:rsidR="2143547D">
        <w:rPr>
          <w:color w:val="4472C4" w:themeColor="accent1" w:themeTint="FF" w:themeShade="FF"/>
        </w:rPr>
        <w:t>8.5. Proceso.</w:t>
      </w:r>
    </w:p>
    <w:p w:rsidRPr="00C93C28" w:rsidR="00B638A1" w:rsidP="2143547D" w:rsidRDefault="00B638A1" w14:paraId="50069ACA" w14:textId="4DA9A5F1">
      <w:pPr>
        <w:pStyle w:val="Ttulo2"/>
        <w:numPr>
          <w:ilvl w:val="0"/>
          <w:numId w:val="0"/>
        </w:numPr>
        <w:ind w:left="0" w:hanging="0"/>
        <w:rPr>
          <w:b w:val="1"/>
          <w:bCs w:val="1"/>
          <w:color w:val="4472C4" w:themeColor="accent1" w:themeTint="FF" w:themeShade="FF"/>
        </w:rPr>
      </w:pPr>
      <w:r w:rsidRPr="2143547D" w:rsidR="2143547D">
        <w:rPr>
          <w:color w:val="4472C4" w:themeColor="accent1" w:themeTint="FF" w:themeShade="FF"/>
        </w:rPr>
        <w:t xml:space="preserve">8.5.1. Registro de actividades de tratamiento de Datos Personales “2B </w:t>
      </w:r>
      <w:r w:rsidRPr="2143547D" w:rsidR="2143547D">
        <w:rPr>
          <w:b w:val="1"/>
          <w:bCs w:val="1"/>
          <w:color w:val="4472C4" w:themeColor="accent1" w:themeTint="FF" w:themeShade="FF"/>
          <w:lang w:val="es-ES"/>
        </w:rPr>
        <w:t>Advice</w:t>
      </w:r>
      <w:r w:rsidRPr="2143547D" w:rsidR="2143547D">
        <w:rPr>
          <w:b w:val="1"/>
          <w:bCs w:val="1"/>
          <w:color w:val="4472C4" w:themeColor="accent1" w:themeTint="FF" w:themeShade="FF"/>
          <w:lang w:val="es-ES"/>
        </w:rPr>
        <w:t xml:space="preserve"> </w:t>
      </w:r>
      <w:r w:rsidRPr="2143547D" w:rsidR="2143547D">
        <w:rPr>
          <w:b w:val="1"/>
          <w:bCs w:val="1"/>
          <w:color w:val="4472C4" w:themeColor="accent1" w:themeTint="FF" w:themeShade="FF"/>
          <w:lang w:val="es-ES"/>
        </w:rPr>
        <w:t>PrIME</w:t>
      </w:r>
      <w:r w:rsidRPr="2143547D" w:rsidR="2143547D">
        <w:rPr>
          <w:b w:val="1"/>
          <w:bCs w:val="1"/>
          <w:color w:val="4472C4" w:themeColor="accent1" w:themeTint="FF" w:themeShade="FF"/>
          <w:lang w:val="es-ES"/>
        </w:rPr>
        <w:t>”</w:t>
      </w:r>
    </w:p>
    <w:p w:rsidRPr="00C93C28" w:rsidR="00B6678E" w:rsidP="2143547D" w:rsidRDefault="003A63AA" w14:paraId="79EE5CA4" w14:textId="1835CAC9">
      <w:pPr>
        <w:pStyle w:val="NormalWeb"/>
        <w:jc w:val="both"/>
        <w:rPr>
          <w:rStyle w:val="Textoennegrita"/>
          <w:rFonts w:ascii="Arial" w:hAnsi="Arial" w:eastAsia="Calibri" w:cs="Arial" w:eastAsiaTheme="minorAscii"/>
          <w:b w:val="0"/>
          <w:bCs w:val="0"/>
          <w:color w:val="4472C4" w:themeColor="accent1" w:themeTint="FF" w:themeShade="FF"/>
          <w:lang w:val="es-ES" w:eastAsia="en-US"/>
          <w:rPrChange w:author="" w16du:dateUtc="2025-11-12T16:42:00Z" w:id="980687867">
            <w:rPr>
              <w:rStyle w:val="Textoennegrita"/>
              <w:rFonts w:ascii="Arial" w:hAnsi="Arial" w:cs="Arial" w:eastAsiaTheme="minorHAnsi"/>
              <w:b w:val="0"/>
              <w:bCs w:val="0"/>
              <w:szCs w:val="26"/>
              <w:lang w:val="de-DE" w:eastAsia="en-US"/>
            </w:rPr>
          </w:rPrChange>
        </w:rPr>
      </w:pP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El proceso establecido en </w:t>
      </w:r>
      <w:r w:rsidRPr="2143547D" w:rsidR="2143547D">
        <w:rPr>
          <w:rStyle w:val="Textoennegrita"/>
          <w:rFonts w:ascii="Arial" w:hAnsi="Arial" w:eastAsia="Calibri" w:cs="Arial" w:eastAsiaTheme="minorAscii"/>
          <w:b w:val="0"/>
          <w:bCs w:val="0"/>
          <w:color w:val="4472C4" w:themeColor="accent1" w:themeTint="FF" w:themeShade="FF"/>
          <w:lang w:val="es-ES" w:eastAsia="en-US"/>
        </w:rPr>
        <w:t>el</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apartado </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 xml:space="preserve">5.1 Registro de actividades de tratamiento de Datos </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P</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ersonales</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 xml:space="preserve"> </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 xml:space="preserve">2B </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Advice</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 xml:space="preserve"> </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PrIME</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 xml:space="preserve"> </w:t>
      </w:r>
      <w:r w:rsidRPr="2143547D" w:rsidR="2143547D">
        <w:rPr>
          <w:rStyle w:val="Textoennegrita"/>
          <w:rFonts w:ascii="Arial" w:hAnsi="Arial" w:eastAsia="Calibri" w:cs="Arial" w:eastAsiaTheme="minorAscii"/>
          <w:b w:val="0"/>
          <w:bCs w:val="0"/>
          <w:color w:val="4472C4" w:themeColor="accent1" w:themeTint="FF" w:themeShade="FF"/>
          <w:lang w:val="es-ES" w:eastAsia="en-US"/>
        </w:rPr>
        <w:t>se</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mantendrá como obligatorio cuando la normativa </w:t>
      </w:r>
      <w:r w:rsidRPr="2143547D" w:rsidR="2143547D">
        <w:rPr>
          <w:rStyle w:val="Textoennegrita"/>
          <w:rFonts w:ascii="Arial" w:hAnsi="Arial" w:eastAsia="Calibri" w:cs="Arial" w:eastAsiaTheme="minorAscii"/>
          <w:b w:val="0"/>
          <w:bCs w:val="0"/>
          <w:color w:val="4472C4" w:themeColor="accent1" w:themeTint="FF" w:themeShade="FF"/>
          <w:lang w:val="es-ES" w:eastAsia="en-US"/>
        </w:rPr>
        <w:t>mexicana</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es aplicable. </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Solo tendrá las siguientes modificaciones: </w:t>
      </w:r>
    </w:p>
    <w:p w:rsidRPr="00C93C28" w:rsidR="00CE342F" w:rsidP="2143547D" w:rsidRDefault="00B6678E" w14:paraId="41B86713" w14:textId="1B146EE1">
      <w:pPr>
        <w:pStyle w:val="NormalWeb"/>
        <w:numPr>
          <w:ilvl w:val="0"/>
          <w:numId w:val="21"/>
        </w:numPr>
        <w:jc w:val="both"/>
        <w:rPr>
          <w:rStyle w:val="Textoennegrita"/>
          <w:rFonts w:ascii="Arial" w:hAnsi="Arial" w:eastAsia="Calibri" w:cs="Arial" w:eastAsiaTheme="minorAscii"/>
          <w:b w:val="0"/>
          <w:bCs w:val="0"/>
          <w:color w:val="4472C4" w:themeColor="accent1" w:themeTint="FF" w:themeShade="FF"/>
          <w:lang w:val="es-ES" w:eastAsia="en-US"/>
          <w:rPrChange w:author="" w16du:dateUtc="2025-11-12T16:42:00Z" w:id="2142336619">
            <w:rPr>
              <w:rStyle w:val="Textoennegrita"/>
              <w:rFonts w:ascii="Arial" w:hAnsi="Arial" w:cs="Arial" w:eastAsiaTheme="minorHAnsi"/>
              <w:b w:val="0"/>
              <w:bCs w:val="0"/>
              <w:lang w:val="de-DE" w:eastAsia="en-US"/>
            </w:rPr>
          </w:rPrChange>
        </w:rPr>
      </w:pP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Los registros correspondientes se identificarán como Inventarios de Datos Personales. </w:t>
      </w:r>
    </w:p>
    <w:p w:rsidRPr="00C93C28" w:rsidR="00B6678E" w:rsidP="2143547D" w:rsidRDefault="009F7C85" w14:paraId="3928A307" w14:textId="020643B8">
      <w:pPr>
        <w:pStyle w:val="NormalWeb"/>
        <w:numPr>
          <w:ilvl w:val="0"/>
          <w:numId w:val="21"/>
        </w:numPr>
        <w:jc w:val="both"/>
        <w:rPr>
          <w:rStyle w:val="Textoennegrita"/>
          <w:rFonts w:ascii="Arial" w:hAnsi="Arial" w:eastAsia="Calibri" w:cs="Arial" w:eastAsiaTheme="minorAscii"/>
          <w:b w:val="0"/>
          <w:bCs w:val="0"/>
          <w:color w:val="4472C4" w:themeColor="accent1" w:themeTint="FF" w:themeShade="FF"/>
          <w:lang w:val="es-ES" w:eastAsia="en-US"/>
          <w:rPrChange w:author="" w16du:dateUtc="2025-11-12T16:42:00Z" w:id="1600532044">
            <w:rPr>
              <w:rStyle w:val="Textoennegrita"/>
              <w:rFonts w:ascii="Arial" w:hAnsi="Arial" w:cs="Arial" w:eastAsiaTheme="minorHAnsi"/>
              <w:b w:val="0"/>
              <w:bCs w:val="0"/>
              <w:lang w:val="de-DE" w:eastAsia="en-US"/>
            </w:rPr>
          </w:rPrChange>
        </w:rPr>
      </w:pPr>
      <w:r w:rsidRPr="2143547D">
        <w:rPr>
          <w:rStyle w:val="Textoennegrita"/>
          <w:rFonts w:ascii="Arial" w:hAnsi="Arial" w:eastAsia="Calibri" w:cs="Arial" w:eastAsiaTheme="minorAscii"/>
          <w:b w:val="0"/>
          <w:bCs w:val="0"/>
          <w:color w:val="4472C4" w:themeColor="accent1" w:themeTint="FF" w:themeShade="FF"/>
          <w:lang w:val="es-ES" w:eastAsia="en-US"/>
        </w:rPr>
        <w:t>Los registros deberán de ser informados</w:t>
      </w:r>
      <w:r w:rsidRPr="2143547D" w:rsidR="00C93C28">
        <w:rPr>
          <w:rStyle w:val="Textoennegrita"/>
          <w:rFonts w:ascii="Arial" w:hAnsi="Arial" w:eastAsia="Calibri" w:cs="Arial" w:eastAsiaTheme="minorAscii"/>
          <w:b w:val="0"/>
          <w:bCs w:val="0"/>
          <w:color w:val="4472C4" w:themeColor="accent1" w:themeTint="FF" w:themeShade="FF"/>
          <w:lang w:val="es-ES" w:eastAsia="en-US"/>
        </w:rPr>
        <w:t xml:space="preserve"> al correo del Equipo de Protección de Datos Personales de la fili</w:t>
      </w:r>
      <w:r w:rsidRPr="2143547D" w:rsidR="0066388A">
        <w:rPr>
          <w:rStyle w:val="Textoennegrita"/>
          <w:rFonts w:ascii="Arial" w:hAnsi="Arial" w:eastAsia="Calibri" w:cs="Arial" w:eastAsiaTheme="minorAscii"/>
          <w:b w:val="0"/>
          <w:bCs w:val="0"/>
          <w:color w:val="4472C4" w:themeColor="accent1" w:themeTint="FF" w:themeShade="FF"/>
          <w:lang w:val="es-ES" w:eastAsia="en-US"/>
        </w:rPr>
        <w:t>al</w:t>
      </w:r>
      <w:r w:rsidRPr="2143547D" w:rsidR="00C93C28">
        <w:rPr>
          <w:rStyle w:val="Textoennegrita"/>
          <w:rFonts w:ascii="Arial" w:hAnsi="Arial" w:eastAsia="Calibri" w:cs="Arial" w:eastAsiaTheme="minorAscii"/>
          <w:b w:val="0"/>
          <w:bCs w:val="0"/>
          <w:color w:val="4472C4" w:themeColor="accent1" w:themeTint="FF" w:themeShade="FF"/>
          <w:lang w:val="es-ES" w:eastAsia="en-US"/>
        </w:rPr>
        <w:t xml:space="preserve"> co</w:t>
      </w:r>
      <w:r w:rsidRPr="2143547D" w:rsidR="00C93C28">
        <w:rPr>
          <w:rStyle w:val="Textoennegrita"/>
          <w:rFonts w:ascii="Arial" w:hAnsi="Arial" w:eastAsia="Calibri" w:cs="Arial" w:eastAsiaTheme="minorAscii"/>
          <w:b w:val="0"/>
          <w:bCs w:val="0"/>
          <w:color w:val="4472C4" w:themeColor="accent1" w:themeTint="FF" w:themeShade="FF"/>
          <w:lang w:val="es-ES" w:eastAsia="en-US"/>
        </w:rPr>
        <w:t>rrespondiente</w:t>
      </w:r>
      <w:r w:rsidRPr="2143547D" w:rsidR="00AE59C0">
        <w:rPr>
          <w:rStyle w:val="Textoennegrita"/>
          <w:rFonts w:ascii="Arial" w:hAnsi="Arial" w:eastAsia="Calibri" w:cs="Arial" w:eastAsiaTheme="minorAscii"/>
          <w:b w:val="0"/>
          <w:bCs w:val="0"/>
          <w:color w:val="4472C4" w:themeColor="accent1" w:themeTint="FF" w:themeShade="FF"/>
          <w:lang w:val="es-ES" w:eastAsia="en-US"/>
        </w:rPr>
        <w:t xml:space="preserve"> y </w:t>
      </w:r>
      <w:r w:rsidRPr="2143547D" w:rsidR="00C93C28">
        <w:rPr>
          <w:rStyle w:val="Textoennegrita"/>
          <w:rFonts w:ascii="Arial" w:hAnsi="Arial" w:eastAsia="Calibri" w:cs="Arial" w:eastAsiaTheme="minorAscii"/>
          <w:b w:val="0"/>
          <w:bCs w:val="0"/>
          <w:color w:val="4472C4" w:themeColor="accent1" w:themeTint="FF" w:themeShade="FF"/>
          <w:lang w:val="es-ES" w:eastAsia="en-US"/>
        </w:rPr>
        <w:t>en caso de ser la filia</w:t>
      </w:r>
      <w:r w:rsidRPr="2143547D" w:rsidR="00C93C28">
        <w:rPr>
          <w:rStyle w:val="Textoennegrita"/>
          <w:rFonts w:ascii="Arial" w:hAnsi="Arial" w:eastAsia="Calibri" w:cs="Arial" w:eastAsiaTheme="minorAscii"/>
          <w:b w:val="0"/>
          <w:bCs w:val="0"/>
          <w:color w:val="4472C4" w:themeColor="accent1" w:themeTint="FF" w:themeShade="FF"/>
          <w:lang w:val="es-ES" w:eastAsia="en-US"/>
        </w:rPr>
        <w:t>l</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de </w:t>
      </w:r>
      <w:r w:rsidRPr="2143547D" w:rsidR="2143547D">
        <w:rPr>
          <w:rStyle w:val="Textoennegrita"/>
          <w:rFonts w:ascii="Arial" w:hAnsi="Arial" w:eastAsia="Calibri" w:cs="Arial" w:eastAsiaTheme="minorAscii"/>
          <w:b w:val="0"/>
          <w:bCs w:val="0"/>
          <w:color w:val="4472C4" w:themeColor="accent1" w:themeTint="FF" w:themeShade="FF"/>
          <w:lang w:val="es-ES" w:eastAsia="en-US"/>
        </w:rPr>
        <w:t>Grünenthal</w:t>
      </w:r>
      <w:r w:rsidRPr="2143547D" w:rsidR="00C93C28">
        <w:rPr>
          <w:rStyle w:val="Textoennegrita"/>
          <w:rFonts w:ascii="Arial" w:hAnsi="Arial" w:eastAsia="Calibri" w:cs="Arial" w:eastAsiaTheme="minorAscii"/>
          <w:b w:val="0"/>
          <w:bCs w:val="0"/>
          <w:color w:val="4472C4" w:themeColor="accent1" w:themeTint="FF" w:themeShade="FF"/>
          <w:lang w:val="es-ES" w:eastAsia="en-US"/>
        </w:rPr>
        <w:t xml:space="preserve"> en México (</w:t>
      </w:r>
      <w:ins w:author="Erick Mateos Molina" w:date="2025-11-12T10:41:00Z" w16du:dateUtc="2025-11-12T16:41:00Z" w:id="196">
        <w:r>
          <w:fldChar w:fldCharType="begin"/>
        </w:r>
        <w:r w:rsidRPr="2143547D">
          <w:rPr>
            <w:rStyle w:val="Textoennegrita"/>
            <w:rFonts w:ascii="Arial" w:hAnsi="Arial" w:eastAsia="Calibri" w:cs="Arial" w:eastAsiaTheme="minorAscii"/>
            <w:b w:val="0"/>
            <w:bCs w:val="0"/>
            <w:lang w:eastAsia="en-US"/>
          </w:rPr>
          <w:instrText xml:space="preserve">HYPERLINK "mailto:Datos.PersonalesMX@grunenthal.com" \h</w:instrText>
        </w:r>
        <w:r w:rsidRPr="00044E1D" w:rsidR="00C93C28">
          <w:rPr>
            <w:rStyle w:val="Textoennegrita"/>
            <w:rFonts w:ascii="Arial" w:hAnsi="Arial" w:cs="Arial" w:eastAsiaTheme="minorHAnsi"/>
            <w:b w:val="0"/>
            <w:bCs w:val="0"/>
            <w:lang w:eastAsia="en-US"/>
          </w:rPr>
        </w:r>
        <w:r w:rsidRPr="2143547D">
          <w:rPr>
            <w:rStyle w:val="Textoennegrita"/>
            <w:rFonts w:ascii="Arial" w:hAnsi="Arial" w:eastAsia="Calibri" w:cs="Arial" w:eastAsiaTheme="minorAscii"/>
            <w:b w:val="0"/>
            <w:bCs w:val="0"/>
            <w:lang w:eastAsia="en-US"/>
          </w:rPr>
          <w:fldChar w:fldCharType="separate"/>
        </w:r>
      </w:ins>
      <w:r w:rsidRPr="2143547D" w:rsidR="00C93C28">
        <w:rPr>
          <w:rStyle w:val="Textoennegrita"/>
          <w:rFonts w:ascii="Arial" w:hAnsi="Arial" w:eastAsia="Calibri" w:cs="Arial" w:eastAsiaTheme="minorAscii"/>
          <w:b w:val="0"/>
          <w:bCs w:val="0"/>
          <w:color w:val="4472C4" w:themeColor="accent1" w:themeTint="FF" w:themeShade="FF"/>
          <w:lang w:eastAsia="en-US"/>
        </w:rPr>
        <w:t>Datos.PersonalesMX@grunenthal.com</w:t>
      </w:r>
      <w:ins w:author="Erick Mateos Molina" w:date="2025-11-12T10:41:00Z" w16du:dateUtc="2025-11-12T16:41:00Z" w:id="196">
        <w:r w:rsidRPr="2143547D">
          <w:rPr>
            <w:rStyle w:val="Textoennegrita"/>
            <w:rFonts w:ascii="Arial" w:hAnsi="Arial" w:eastAsia="Calibri" w:cs="Arial" w:eastAsiaTheme="minorAscii"/>
            <w:b w:val="0"/>
            <w:bCs w:val="0"/>
            <w:lang w:eastAsia="en-US"/>
          </w:rPr>
          <w:fldChar w:fldCharType="end"/>
        </w:r>
      </w:ins>
      <w:r w:rsidRPr="2143547D" w:rsidR="00C93C28">
        <w:rPr>
          <w:rStyle w:val="Textoennegrita"/>
          <w:rFonts w:ascii="Arial" w:hAnsi="Arial" w:eastAsia="Calibri" w:cs="Arial" w:eastAsiaTheme="minorAscii"/>
          <w:b w:val="0"/>
          <w:bCs w:val="0"/>
          <w:color w:val="4472C4" w:themeColor="accent1" w:themeTint="FF" w:themeShade="FF"/>
          <w:lang w:eastAsia="en-US"/>
        </w:rPr>
        <w:t xml:space="preserve">). </w:t>
      </w:r>
    </w:p>
    <w:p w:rsidRPr="00C93C28" w:rsidR="00B638A1" w:rsidP="2143547D" w:rsidRDefault="003B092C" w14:paraId="01AB1686" w14:textId="6930F5E4">
      <w:pPr>
        <w:pStyle w:val="Ttulo3"/>
        <w:numPr>
          <w:ilvl w:val="0"/>
          <w:numId w:val="0"/>
        </w:numPr>
        <w:ind w:left="0"/>
        <w:jc w:val="both"/>
        <w:rPr>
          <w:b w:val="1"/>
          <w:bCs w:val="1"/>
          <w:color w:val="4472C4" w:themeColor="accent1" w:themeTint="FF" w:themeShade="FF"/>
          <w:lang w:val="es-ES"/>
          <w:rPrChange w:author="" w16du:dateUtc="2025-11-12T16:44:00Z" w:id="1571318936">
            <w:rPr>
              <w:rFonts w:eastAsiaTheme="minorEastAsia"/>
            </w:rPr>
          </w:rPrChange>
        </w:rPr>
      </w:pPr>
      <w:r w:rsidRPr="2143547D" w:rsidR="2143547D">
        <w:rPr>
          <w:b w:val="1"/>
          <w:bCs w:val="1"/>
          <w:color w:val="4472C4" w:themeColor="accent1" w:themeTint="FF" w:themeShade="FF"/>
          <w:lang w:val="es-ES"/>
        </w:rPr>
        <w:t xml:space="preserve">8.5.2. Evaluaciones de Impacto de la Protección de Datos. </w:t>
      </w:r>
    </w:p>
    <w:p w:rsidR="00B6678E" w:rsidP="2143547D" w:rsidRDefault="00B6678E" w14:paraId="0BB99F93" w14:textId="66CBBCB3">
      <w:pPr>
        <w:pStyle w:val="NormalWeb"/>
        <w:jc w:val="both"/>
        <w:rPr>
          <w:rStyle w:val="Textoennegrita"/>
          <w:rFonts w:ascii="Arial" w:hAnsi="Arial" w:eastAsia="Calibri" w:cs="Arial" w:eastAsiaTheme="minorAscii"/>
          <w:b w:val="0"/>
          <w:bCs w:val="0"/>
          <w:color w:val="4472C4" w:themeColor="accent1" w:themeTint="FF" w:themeShade="FF"/>
          <w:lang w:val="es-ES" w:eastAsia="en-US"/>
        </w:rPr>
      </w:pP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El Proceso establecido en el </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segmento 5.2 Evaluaciones de impacto de la protección de datos personales</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de la Política Global de GRT sigue siendo válido para su aplicación en México. </w:t>
      </w:r>
    </w:p>
    <w:p w:rsidR="00AE59C0" w:rsidP="2143547D" w:rsidRDefault="00AE59C0" w14:paraId="5AD30D1C" w14:textId="3022144B">
      <w:pPr>
        <w:pStyle w:val="NormalWeb"/>
        <w:jc w:val="both"/>
        <w:rPr>
          <w:rStyle w:val="Textoennegrita"/>
          <w:rFonts w:ascii="Arial" w:hAnsi="Arial" w:eastAsia="Calibri" w:cs="Arial" w:eastAsiaTheme="minorAscii"/>
          <w:b w:val="0"/>
          <w:bCs w:val="0"/>
          <w:color w:val="4472C4" w:themeColor="accent1" w:themeTint="FF" w:themeShade="FF"/>
          <w:lang w:val="es-ES" w:eastAsia="en-US"/>
        </w:rPr>
      </w:pP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En su caso, GRT deberá de seguir la metodología establecida en la Política de Evaluación de Impacto en la Protección de Datos Personales de </w:t>
      </w:r>
      <w:r w:rsidRPr="2143547D" w:rsidR="2143547D">
        <w:rPr>
          <w:rStyle w:val="Textoennegrita"/>
          <w:rFonts w:ascii="Arial" w:hAnsi="Arial" w:eastAsia="Calibri" w:cs="Arial" w:eastAsiaTheme="minorAscii"/>
          <w:b w:val="0"/>
          <w:bCs w:val="0"/>
          <w:color w:val="4472C4" w:themeColor="accent1" w:themeTint="FF" w:themeShade="FF"/>
          <w:lang w:val="es-ES" w:eastAsia="en-US"/>
        </w:rPr>
        <w:t>Grünenthal</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de México, S. A. de C.V., filial de GRT en el territorio, para su realización. </w:t>
      </w:r>
    </w:p>
    <w:p w:rsidRPr="00C93C28" w:rsidR="0093198F" w:rsidP="2143547D" w:rsidRDefault="0093198F" w14:paraId="34F388F8" w14:textId="12507001">
      <w:pPr>
        <w:pStyle w:val="Ttulo3"/>
        <w:numPr>
          <w:ilvl w:val="0"/>
          <w:numId w:val="0"/>
        </w:numPr>
        <w:ind w:left="0"/>
        <w:jc w:val="both"/>
        <w:rPr>
          <w:b w:val="1"/>
          <w:bCs w:val="1"/>
          <w:color w:val="4472C4" w:themeColor="accent1" w:themeTint="FF" w:themeShade="FF"/>
          <w:lang w:val="es-ES"/>
        </w:rPr>
      </w:pPr>
      <w:r w:rsidRPr="2143547D" w:rsidR="2143547D">
        <w:rPr>
          <w:b w:val="1"/>
          <w:bCs w:val="1"/>
          <w:color w:val="4472C4" w:themeColor="accent1" w:themeTint="FF" w:themeShade="FF"/>
          <w:lang w:val="es-ES"/>
        </w:rPr>
        <w:t xml:space="preserve">8.5.3. Tratamiento de datos personales por parte de terceros. </w:t>
      </w:r>
    </w:p>
    <w:p w:rsidR="002278CC" w:rsidP="2143547D" w:rsidRDefault="002278CC" w14:paraId="326099E1" w14:textId="43C2978D">
      <w:pPr>
        <w:pStyle w:val="NormalWeb"/>
        <w:jc w:val="both"/>
        <w:rPr>
          <w:rStyle w:val="Textoennegrita"/>
          <w:rFonts w:ascii="Arial" w:hAnsi="Arial" w:eastAsia="Calibri" w:cs="Arial" w:eastAsiaTheme="minorAscii"/>
          <w:b w:val="0"/>
          <w:bCs w:val="0"/>
          <w:color w:val="4472C4" w:themeColor="accent1" w:themeTint="FF" w:themeShade="FF"/>
          <w:lang w:val="es-ES" w:eastAsia="en-US"/>
        </w:rPr>
      </w:pP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El proceso establecido en el segmento 5.3. </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 xml:space="preserve">Tratamiento de Datos Personales por parte de terceros </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sigue siendo válido y aplicable en México, solo con las siguientes modificaciones: </w:t>
      </w:r>
    </w:p>
    <w:p w:rsidRPr="00E05CF1" w:rsidR="00E05CF1" w:rsidP="2143547D" w:rsidRDefault="00E05CF1" w14:paraId="71518439" w14:textId="79165CF7">
      <w:pPr>
        <w:pStyle w:val="NormalWeb"/>
        <w:numPr>
          <w:ilvl w:val="0"/>
          <w:numId w:val="24"/>
        </w:numPr>
        <w:jc w:val="both"/>
        <w:rPr>
          <w:rStyle w:val="Textoennegrita"/>
          <w:rFonts w:ascii="Arial" w:hAnsi="Arial" w:eastAsia="Calibri" w:cs="Arial" w:eastAsiaTheme="minorAscii"/>
          <w:b w:val="0"/>
          <w:bCs w:val="0"/>
          <w:color w:val="4472C4" w:themeColor="accent1" w:themeTint="FF" w:themeShade="FF"/>
          <w:lang w:eastAsia="en-US"/>
        </w:rPr>
      </w:pP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Las transferencias de datos a terceros también van a requerir antes de su ejecución la firma de un acuerdo o instrumento jurídico vinculante para su </w:t>
      </w:r>
      <w:r w:rsidRPr="2143547D" w:rsidR="2143547D">
        <w:rPr>
          <w:rStyle w:val="Textoennegrita"/>
          <w:rFonts w:ascii="Arial" w:hAnsi="Arial" w:eastAsia="Calibri" w:cs="Arial" w:eastAsiaTheme="minorAscii"/>
          <w:b w:val="0"/>
          <w:bCs w:val="0"/>
          <w:color w:val="4472C4" w:themeColor="accent1" w:themeTint="FF" w:themeShade="FF"/>
          <w:lang w:val="es-ES" w:eastAsia="en-US"/>
        </w:rPr>
        <w:t>realización.En</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su caso, l</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os contratos de transferencias o de procesamiento de datos personales (conocido como remisión de datos en México) deberán de hacerse conforme a lo establecido </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en el Manual de Relaciones con Terceros </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de </w:t>
      </w:r>
      <w:r w:rsidRPr="2143547D" w:rsidR="2143547D">
        <w:rPr>
          <w:rStyle w:val="Textoennegrita"/>
          <w:rFonts w:ascii="Arial" w:hAnsi="Arial" w:eastAsia="Calibri" w:cs="Arial" w:eastAsiaTheme="minorAscii"/>
          <w:b w:val="0"/>
          <w:bCs w:val="0"/>
          <w:color w:val="4472C4" w:themeColor="accent1" w:themeTint="FF" w:themeShade="FF"/>
          <w:lang w:val="es-ES" w:eastAsia="en-US"/>
        </w:rPr>
        <w:t>G</w:t>
      </w:r>
      <w:r w:rsidRPr="2143547D" w:rsidR="2143547D">
        <w:rPr>
          <w:rStyle w:val="Textoennegrita"/>
          <w:rFonts w:ascii="Arial" w:hAnsi="Arial" w:eastAsia="Calibri" w:cs="Arial" w:eastAsiaTheme="minorAscii"/>
          <w:b w:val="0"/>
          <w:bCs w:val="0"/>
          <w:color w:val="4472C4" w:themeColor="accent1" w:themeTint="FF" w:themeShade="FF"/>
          <w:lang w:val="es-ES" w:eastAsia="en-US"/>
        </w:rPr>
        <w:t>rünenthal</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w:t>
      </w:r>
      <w:r w:rsidRPr="2143547D" w:rsidR="2143547D">
        <w:rPr>
          <w:rStyle w:val="Textoennegrita"/>
          <w:rFonts w:ascii="Arial" w:hAnsi="Arial" w:eastAsia="Calibri" w:cs="Arial" w:eastAsiaTheme="minorAscii"/>
          <w:b w:val="0"/>
          <w:bCs w:val="0"/>
          <w:color w:val="4472C4" w:themeColor="accent1" w:themeTint="FF" w:themeShade="FF"/>
          <w:lang w:val="es-ES" w:eastAsia="en-US"/>
        </w:rPr>
        <w:t>de México, S. A. de C.V., filial de GRT en el territorio, para su realización.</w:t>
      </w:r>
    </w:p>
    <w:p w:rsidRPr="00C93C28" w:rsidR="00027492" w:rsidP="2143547D" w:rsidRDefault="00027492" w14:paraId="4E7F4852" w14:textId="57A0EB8C">
      <w:pPr>
        <w:pStyle w:val="Ttulo3"/>
        <w:numPr>
          <w:ilvl w:val="0"/>
          <w:numId w:val="0"/>
        </w:numPr>
        <w:ind w:left="0"/>
        <w:jc w:val="both"/>
        <w:rPr>
          <w:b w:val="1"/>
          <w:bCs w:val="1"/>
          <w:color w:val="4472C4" w:themeColor="accent1" w:themeTint="FF" w:themeShade="FF"/>
          <w:lang w:val="es-ES"/>
          <w:rPrChange w:author="" w16du:dateUtc="2025-11-12T16:44:00Z" w:id="859923792">
            <w:rPr>
              <w:b/>
              <w:bCs w:val="0"/>
            </w:rPr>
          </w:rPrChange>
        </w:rPr>
      </w:pPr>
      <w:r w:rsidRPr="2143547D" w:rsidR="2143547D">
        <w:rPr>
          <w:b w:val="1"/>
          <w:bCs w:val="1"/>
          <w:color w:val="4472C4" w:themeColor="accent1" w:themeTint="FF" w:themeShade="FF"/>
          <w:lang w:val="es-ES"/>
        </w:rPr>
        <w:t>8.5.</w:t>
      </w:r>
      <w:r w:rsidRPr="2143547D" w:rsidR="2143547D">
        <w:rPr>
          <w:b w:val="1"/>
          <w:bCs w:val="1"/>
          <w:color w:val="4472C4" w:themeColor="accent1" w:themeTint="FF" w:themeShade="FF"/>
          <w:lang w:val="es-ES"/>
        </w:rPr>
        <w:t>4. Transferencia</w:t>
      </w:r>
      <w:r w:rsidRPr="2143547D" w:rsidR="2143547D">
        <w:rPr>
          <w:b w:val="1"/>
          <w:bCs w:val="1"/>
          <w:color w:val="4472C4" w:themeColor="accent1" w:themeTint="FF" w:themeShade="FF"/>
          <w:lang w:val="es-ES"/>
        </w:rPr>
        <w:t xml:space="preserve"> de datos fuera de la México. </w:t>
      </w:r>
    </w:p>
    <w:p w:rsidRPr="00C93C28" w:rsidR="00027492" w:rsidP="2143547D" w:rsidRDefault="00E05CF1" w14:paraId="5E5A023A" w14:textId="639A9BF6">
      <w:pPr>
        <w:pStyle w:val="NormalWeb"/>
        <w:jc w:val="both"/>
        <w:rPr>
          <w:rStyle w:val="Textoennegrita"/>
          <w:rFonts w:ascii="Arial" w:hAnsi="Arial" w:eastAsia="Calibri" w:cs="Arial" w:eastAsiaTheme="minorAscii"/>
          <w:b w:val="0"/>
          <w:bCs w:val="0"/>
          <w:color w:val="4472C4" w:themeColor="accent1" w:themeTint="FF" w:themeShade="FF"/>
          <w:lang w:val="es-ES" w:eastAsia="en-US"/>
          <w:rPrChange w:author="" w16du:dateUtc="2025-11-12T16:44:00Z" w:id="2082080205">
            <w:rPr/>
          </w:rPrChange>
        </w:rPr>
      </w:pP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El Proceso establecido en el segmento </w:t>
      </w:r>
      <w:r w:rsidRPr="2143547D" w:rsidR="2143547D">
        <w:rPr>
          <w:rStyle w:val="Textoennegrita"/>
          <w:rFonts w:ascii="Arial" w:hAnsi="Arial" w:eastAsia="Calibri" w:cs="Arial" w:eastAsiaTheme="minorAscii"/>
          <w:b w:val="0"/>
          <w:bCs w:val="0"/>
          <w:i w:val="1"/>
          <w:iCs w:val="1"/>
          <w:color w:val="4472C4" w:themeColor="accent1" w:themeTint="FF" w:themeShade="FF"/>
          <w:lang w:val="es-ES" w:eastAsia="en-US"/>
        </w:rPr>
        <w:t>5.4 Transferencia de datos fuera de la UE</w:t>
      </w:r>
      <w:r w:rsidRPr="2143547D" w:rsidR="2143547D">
        <w:rPr>
          <w:rStyle w:val="Textoennegrita"/>
          <w:rFonts w:ascii="Arial" w:hAnsi="Arial" w:eastAsia="Calibri" w:cs="Arial" w:eastAsiaTheme="minorAscii"/>
          <w:b w:val="0"/>
          <w:bCs w:val="0"/>
          <w:color w:val="4472C4" w:themeColor="accent1" w:themeTint="FF" w:themeShade="FF"/>
          <w:lang w:val="es-ES" w:eastAsia="en-US"/>
        </w:rPr>
        <w:t xml:space="preserve">, no es aplicable en México, ya que la normativa mexicana no hace distinción entre transferencias nacionales o internacionales. </w:t>
      </w:r>
    </w:p>
    <w:p w:rsidRPr="00C93C28" w:rsidR="00D83A17" w:rsidP="2143547D" w:rsidRDefault="00D83A17" w14:paraId="37D93A44" w14:textId="7BD47ECE">
      <w:pPr>
        <w:pStyle w:val="Ttulo3"/>
        <w:jc w:val="both"/>
        <w:rPr>
          <w:b w:val="1"/>
          <w:bCs w:val="1"/>
          <w:color w:val="4472C4" w:themeColor="accent1" w:themeTint="FF" w:themeShade="FF"/>
          <w:lang w:val="es-ES"/>
          <w:rPrChange w:author="" w16du:dateUtc="2025-11-12T16:44:00Z" w:id="1743358423">
            <w:rPr>
              <w:b/>
              <w:bCs w:val="0"/>
            </w:rPr>
          </w:rPrChange>
        </w:rPr>
      </w:pPr>
      <w:r w:rsidRPr="2143547D" w:rsidR="2143547D">
        <w:rPr>
          <w:b w:val="1"/>
          <w:bCs w:val="1"/>
          <w:color w:val="4472C4" w:themeColor="accent1" w:themeTint="FF" w:themeShade="FF"/>
          <w:lang w:val="es-ES"/>
        </w:rPr>
        <w:t xml:space="preserve">Plantillas y formularios necesarios para el proceso. </w:t>
      </w:r>
    </w:p>
    <w:p w:rsidRPr="00C93C28" w:rsidR="005F2962" w:rsidP="2143547D" w:rsidRDefault="00E05CF1" w14:paraId="4AE6D0C3" w14:textId="17E90004">
      <w:pPr>
        <w:jc w:val="both"/>
        <w:rPr>
          <w:rStyle w:val="Textoennegrita"/>
          <w:rFonts w:ascii="Arial" w:hAnsi="Arial" w:cs="Arial"/>
          <w:b w:val="0"/>
          <w:bCs w:val="0"/>
          <w:color w:val="4472C4" w:themeColor="accent1" w:themeTint="FF" w:themeShade="FF"/>
          <w:sz w:val="24"/>
          <w:szCs w:val="24"/>
          <w:lang w:val="es-ES"/>
          <w:rPrChange w:author="" w16du:dateUtc="2025-11-12T16:44:00Z" w:id="1171014920">
            <w:rPr>
              <w:rStyle w:val="Textoennegrita"/>
              <w:rFonts w:ascii="Arial" w:hAnsi="Arial" w:cs="Arial"/>
              <w:b w:val="0"/>
              <w:bCs w:val="0"/>
              <w:sz w:val="24"/>
              <w:szCs w:val="24"/>
              <w:lang w:val="en-US" w:eastAsia="de-DE"/>
            </w:rPr>
          </w:rPrChange>
        </w:rPr>
      </w:pPr>
      <w:r w:rsidRPr="2143547D" w:rsidR="2143547D">
        <w:rPr>
          <w:rStyle w:val="Textoennegrita"/>
          <w:rFonts w:ascii="Arial" w:hAnsi="Arial" w:cs="Arial"/>
          <w:b w:val="0"/>
          <w:bCs w:val="0"/>
          <w:color w:val="4472C4" w:themeColor="accent1" w:themeTint="FF" w:themeShade="FF"/>
          <w:sz w:val="24"/>
          <w:szCs w:val="24"/>
          <w:lang w:val="es-ES"/>
        </w:rPr>
        <w:t xml:space="preserve">Las plantillas y formularios establecidas en el segmento 5.5 sigue siendo validas, aunque será necesario la inclusión las siguientes políticas y manuales para la adecuada implementación de la presente política y anexo, </w:t>
      </w:r>
    </w:p>
    <w:p w:rsidRPr="00C93C28" w:rsidR="005F2962" w:rsidP="2143547D" w:rsidRDefault="005F2962" w14:paraId="3B6F857F" w14:textId="337E1437">
      <w:pPr>
        <w:pStyle w:val="Prrafodelista"/>
        <w:numPr>
          <w:ilvl w:val="0"/>
          <w:numId w:val="18"/>
        </w:numPr>
        <w:rPr>
          <w:rStyle w:val="Textoennegrita"/>
          <w:rFonts w:ascii="Arial" w:hAnsi="Arial" w:cs="Arial"/>
          <w:b w:val="0"/>
          <w:bCs w:val="0"/>
          <w:color w:val="4472C4" w:themeColor="accent1" w:themeTint="FF" w:themeShade="FF"/>
          <w:sz w:val="24"/>
          <w:szCs w:val="24"/>
          <w:rPrChange w:author="" w16du:dateUtc="2025-11-12T16:44:00Z" w:id="2134155097">
            <w:rPr>
              <w:lang w:val="es-ES" w:eastAsia="de-DE"/>
            </w:rPr>
          </w:rPrChange>
        </w:rPr>
      </w:pPr>
      <w:r w:rsidRPr="2143547D" w:rsidR="2143547D">
        <w:rPr>
          <w:rStyle w:val="Textoennegrita"/>
          <w:rFonts w:ascii="Arial" w:hAnsi="Arial" w:cs="Arial"/>
          <w:b w:val="0"/>
          <w:bCs w:val="0"/>
          <w:color w:val="4472C4" w:themeColor="accent1" w:themeTint="FF" w:themeShade="FF"/>
          <w:sz w:val="24"/>
          <w:szCs w:val="24"/>
        </w:rPr>
        <w:t xml:space="preserve">Manual de </w:t>
      </w:r>
      <w:r w:rsidRPr="2143547D" w:rsidR="2143547D">
        <w:rPr>
          <w:rStyle w:val="Textoennegrita"/>
          <w:rFonts w:ascii="Arial" w:hAnsi="Arial" w:cs="Arial"/>
          <w:b w:val="0"/>
          <w:bCs w:val="0"/>
          <w:color w:val="4472C4" w:themeColor="accent1" w:themeTint="FF" w:themeShade="FF"/>
          <w:sz w:val="24"/>
          <w:szCs w:val="24"/>
        </w:rPr>
        <w:t>Relaciones</w:t>
      </w:r>
      <w:r w:rsidRPr="2143547D" w:rsidR="2143547D">
        <w:rPr>
          <w:rStyle w:val="Textoennegrita"/>
          <w:rFonts w:ascii="Arial" w:hAnsi="Arial" w:cs="Arial"/>
          <w:b w:val="0"/>
          <w:bCs w:val="0"/>
          <w:color w:val="4472C4" w:themeColor="accent1" w:themeTint="FF" w:themeShade="FF"/>
          <w:sz w:val="24"/>
          <w:szCs w:val="24"/>
        </w:rPr>
        <w:t xml:space="preserve"> </w:t>
      </w:r>
      <w:r w:rsidRPr="2143547D" w:rsidR="2143547D">
        <w:rPr>
          <w:rStyle w:val="Textoennegrita"/>
          <w:rFonts w:ascii="Arial" w:hAnsi="Arial" w:cs="Arial"/>
          <w:b w:val="0"/>
          <w:bCs w:val="0"/>
          <w:color w:val="4472C4" w:themeColor="accent1" w:themeTint="FF" w:themeShade="FF"/>
          <w:sz w:val="24"/>
          <w:szCs w:val="24"/>
        </w:rPr>
        <w:t>con</w:t>
      </w:r>
      <w:r w:rsidRPr="2143547D" w:rsidR="2143547D">
        <w:rPr>
          <w:rStyle w:val="Textoennegrita"/>
          <w:rFonts w:ascii="Arial" w:hAnsi="Arial" w:cs="Arial"/>
          <w:b w:val="0"/>
          <w:bCs w:val="0"/>
          <w:color w:val="4472C4" w:themeColor="accent1" w:themeTint="FF" w:themeShade="FF"/>
          <w:sz w:val="24"/>
          <w:szCs w:val="24"/>
        </w:rPr>
        <w:t xml:space="preserve"> </w:t>
      </w:r>
      <w:r w:rsidRPr="2143547D" w:rsidR="2143547D">
        <w:rPr>
          <w:rStyle w:val="Textoennegrita"/>
          <w:rFonts w:ascii="Arial" w:hAnsi="Arial" w:cs="Arial"/>
          <w:b w:val="0"/>
          <w:bCs w:val="0"/>
          <w:color w:val="4472C4" w:themeColor="accent1" w:themeTint="FF" w:themeShade="FF"/>
          <w:sz w:val="24"/>
          <w:szCs w:val="24"/>
        </w:rPr>
        <w:t>Terceros</w:t>
      </w:r>
      <w:r w:rsidRPr="2143547D" w:rsidR="2143547D">
        <w:rPr>
          <w:rStyle w:val="Textoennegrita"/>
          <w:rFonts w:ascii="Arial" w:hAnsi="Arial" w:cs="Arial"/>
          <w:b w:val="0"/>
          <w:bCs w:val="0"/>
          <w:color w:val="4472C4" w:themeColor="accent1" w:themeTint="FF" w:themeShade="FF"/>
          <w:sz w:val="24"/>
          <w:szCs w:val="24"/>
          <w:lang w:val="es-ES"/>
        </w:rPr>
        <w:t xml:space="preserve"> </w:t>
      </w:r>
      <w:r w:rsidRPr="2143547D" w:rsidR="2143547D">
        <w:rPr>
          <w:rStyle w:val="Textoennegrita"/>
          <w:rFonts w:ascii="Arial" w:hAnsi="Arial" w:cs="Arial"/>
          <w:b w:val="0"/>
          <w:bCs w:val="0"/>
          <w:color w:val="4472C4" w:themeColor="accent1" w:themeTint="FF" w:themeShade="FF"/>
          <w:sz w:val="24"/>
          <w:szCs w:val="24"/>
          <w:lang w:val="es-ES"/>
        </w:rPr>
        <w:t xml:space="preserve">de </w:t>
      </w:r>
      <w:r w:rsidRPr="2143547D" w:rsidR="2143547D">
        <w:rPr>
          <w:rStyle w:val="Textoennegrita"/>
          <w:rFonts w:ascii="Arial" w:hAnsi="Arial" w:cs="Arial"/>
          <w:b w:val="0"/>
          <w:bCs w:val="0"/>
          <w:color w:val="4472C4" w:themeColor="accent1" w:themeTint="FF" w:themeShade="FF"/>
          <w:sz w:val="24"/>
          <w:szCs w:val="24"/>
          <w:lang w:val="es-ES"/>
        </w:rPr>
        <w:t>Grünenthal</w:t>
      </w:r>
      <w:r w:rsidRPr="2143547D" w:rsidR="2143547D">
        <w:rPr>
          <w:rStyle w:val="Textoennegrita"/>
          <w:rFonts w:ascii="Arial" w:hAnsi="Arial" w:cs="Arial"/>
          <w:b w:val="0"/>
          <w:bCs w:val="0"/>
          <w:color w:val="4472C4" w:themeColor="accent1" w:themeTint="FF" w:themeShade="FF"/>
          <w:sz w:val="24"/>
          <w:szCs w:val="24"/>
          <w:lang w:val="es-ES"/>
        </w:rPr>
        <w:t xml:space="preserve"> de México, S.A. de C.V.</w:t>
      </w:r>
    </w:p>
    <w:p w:rsidRPr="00C93C28" w:rsidR="00D83A17" w:rsidP="2143547D" w:rsidRDefault="005F2962" w14:paraId="646F0019" w14:textId="1F5A0BDB">
      <w:pPr>
        <w:pStyle w:val="Prrafodelista"/>
        <w:numPr>
          <w:ilvl w:val="0"/>
          <w:numId w:val="18"/>
        </w:numPr>
        <w:rPr>
          <w:color w:val="4472C4" w:themeColor="accent1" w:themeTint="FF" w:themeShade="FF"/>
          <w:lang w:val="es-ES"/>
          <w:rPrChange w:author="" w16du:dateUtc="2025-11-12T16:44:00Z" w:id="2048985044">
            <w:rPr>
              <w:b/>
              <w:bCs w:val="0"/>
            </w:rPr>
          </w:rPrChange>
        </w:rPr>
      </w:pPr>
      <w:r w:rsidRPr="2143547D" w:rsidR="2143547D">
        <w:rPr>
          <w:rStyle w:val="Textoennegrita"/>
          <w:rFonts w:ascii="Arial" w:hAnsi="Arial" w:cs="Arial"/>
          <w:b w:val="0"/>
          <w:bCs w:val="0"/>
          <w:color w:val="4472C4" w:themeColor="accent1" w:themeTint="FF" w:themeShade="FF"/>
          <w:sz w:val="24"/>
          <w:szCs w:val="24"/>
        </w:rPr>
        <w:t>Política</w:t>
      </w:r>
      <w:r w:rsidRPr="2143547D" w:rsidR="2143547D">
        <w:rPr>
          <w:rStyle w:val="Textoennegrita"/>
          <w:rFonts w:ascii="Arial" w:hAnsi="Arial" w:cs="Arial"/>
          <w:b w:val="0"/>
          <w:bCs w:val="0"/>
          <w:color w:val="4472C4" w:themeColor="accent1" w:themeTint="FF" w:themeShade="FF"/>
          <w:sz w:val="24"/>
          <w:szCs w:val="24"/>
        </w:rPr>
        <w:t xml:space="preserve"> General de </w:t>
      </w:r>
      <w:r w:rsidRPr="2143547D" w:rsidR="2143547D">
        <w:rPr>
          <w:rStyle w:val="Textoennegrita"/>
          <w:rFonts w:ascii="Arial" w:hAnsi="Arial" w:cs="Arial"/>
          <w:b w:val="0"/>
          <w:bCs w:val="0"/>
          <w:color w:val="4472C4" w:themeColor="accent1" w:themeTint="FF" w:themeShade="FF"/>
          <w:sz w:val="24"/>
          <w:szCs w:val="24"/>
        </w:rPr>
        <w:t>Protección</w:t>
      </w:r>
      <w:r w:rsidRPr="2143547D" w:rsidR="2143547D">
        <w:rPr>
          <w:rStyle w:val="Textoennegrita"/>
          <w:rFonts w:ascii="Arial" w:hAnsi="Arial" w:cs="Arial"/>
          <w:b w:val="0"/>
          <w:bCs w:val="0"/>
          <w:color w:val="4472C4" w:themeColor="accent1" w:themeTint="FF" w:themeShade="FF"/>
          <w:sz w:val="24"/>
          <w:szCs w:val="24"/>
        </w:rPr>
        <w:t xml:space="preserve"> de Datos</w:t>
      </w:r>
      <w:r w:rsidRPr="2143547D" w:rsidR="2143547D">
        <w:rPr>
          <w:rStyle w:val="Textoennegrita"/>
          <w:rFonts w:ascii="Arial" w:hAnsi="Arial" w:cs="Arial"/>
          <w:b w:val="0"/>
          <w:bCs w:val="0"/>
          <w:color w:val="4472C4" w:themeColor="accent1" w:themeTint="FF" w:themeShade="FF"/>
          <w:sz w:val="24"/>
          <w:szCs w:val="24"/>
          <w:lang w:val="es-ES"/>
        </w:rPr>
        <w:t xml:space="preserve"> de Grünenthal de México, S.A. de C.V.</w:t>
      </w:r>
    </w:p>
    <w:p w:rsidRPr="00C93C28" w:rsidR="00D83A17" w:rsidP="2143547D" w:rsidRDefault="005F2962" w14:paraId="02EFF0C0" w14:textId="1094C666">
      <w:pPr>
        <w:pStyle w:val="Prrafodelista"/>
        <w:numPr>
          <w:ilvl w:val="0"/>
          <w:numId w:val="18"/>
        </w:numPr>
        <w:rPr>
          <w:color w:val="4472C4" w:themeColor="accent1" w:themeTint="FF" w:themeShade="FF"/>
          <w:lang w:val="es-ES"/>
          <w:rPrChange w:author="" w16du:dateUtc="2025-11-12T16:44:00Z" w:id="1586471289">
            <w:rPr>
              <w:b/>
              <w:bCs w:val="0"/>
            </w:rPr>
          </w:rPrChange>
        </w:rPr>
      </w:pPr>
      <w:r w:rsidRPr="2143547D" w:rsidR="2143547D">
        <w:rPr>
          <w:rStyle w:val="Textoennegrita"/>
          <w:rFonts w:ascii="Arial" w:hAnsi="Arial" w:cs="Arial"/>
          <w:b w:val="0"/>
          <w:bCs w:val="0"/>
          <w:color w:val="4472C4" w:themeColor="accent1" w:themeTint="FF" w:themeShade="FF"/>
          <w:sz w:val="24"/>
          <w:szCs w:val="24"/>
          <w:lang w:val="es-ES"/>
        </w:rPr>
        <w:t xml:space="preserve">Política para la Elaboración de Evaluaciones de Impacto en la Protección de Datos Personales de </w:t>
      </w:r>
      <w:r w:rsidRPr="2143547D" w:rsidR="2143547D">
        <w:rPr>
          <w:rStyle w:val="Textoennegrita"/>
          <w:rFonts w:ascii="Arial" w:hAnsi="Arial" w:cs="Arial"/>
          <w:b w:val="0"/>
          <w:bCs w:val="0"/>
          <w:color w:val="4472C4" w:themeColor="accent1" w:themeTint="FF" w:themeShade="FF"/>
          <w:sz w:val="24"/>
          <w:szCs w:val="24"/>
          <w:lang w:val="es-ES"/>
        </w:rPr>
        <w:t>Grünenthal</w:t>
      </w:r>
      <w:r w:rsidRPr="2143547D" w:rsidR="2143547D">
        <w:rPr>
          <w:rStyle w:val="Textoennegrita"/>
          <w:rFonts w:ascii="Arial" w:hAnsi="Arial" w:cs="Arial"/>
          <w:b w:val="0"/>
          <w:bCs w:val="0"/>
          <w:color w:val="4472C4" w:themeColor="accent1" w:themeTint="FF" w:themeShade="FF"/>
          <w:sz w:val="24"/>
          <w:szCs w:val="24"/>
          <w:lang w:val="es-ES"/>
        </w:rPr>
        <w:t xml:space="preserve"> de México, S.A. de C.V. </w:t>
      </w:r>
    </w:p>
    <w:p w:rsidRPr="00D14992" w:rsidR="00D14992" w:rsidP="2143547D" w:rsidRDefault="00D14992" w14:paraId="0AB02E16" w14:textId="46FD04BC">
      <w:pPr>
        <w:jc w:val="both"/>
        <w:rPr>
          <w:lang w:val="es-ES" w:eastAsia="de-DE"/>
          <w:rPrChange w:author="" w16du:dateUtc="2025-10-14T19:04:00Z" w:id="923155173">
            <w:rPr/>
          </w:rPrChange>
        </w:rPr>
      </w:pPr>
    </w:p>
    <w:sectPr w:rsidRPr="00D14992" w:rsidR="00D14992" w:rsidSect="00054252">
      <w:headerReference w:type="default" r:id="rId10"/>
      <w:headerReference w:type="first" r:id="rId11"/>
      <w:pgSz w:w="11906" w:h="16838" w:orient="portrait"/>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911B74" w:rsidP="00D56F14" w:rsidRDefault="00911B74" w14:paraId="6F09DC5D" w14:textId="77777777">
      <w:pPr>
        <w:spacing w:after="0" w:line="240" w:lineRule="auto"/>
      </w:pPr>
      <w:r>
        <w:separator/>
      </w:r>
    </w:p>
  </w:endnote>
  <w:endnote w:type="continuationSeparator" w:id="0">
    <w:p w:rsidR="00911B74" w:rsidP="00D56F14" w:rsidRDefault="00911B74" w14:paraId="0E1DC4F8" w14:textId="7777777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911B74" w:rsidP="00D56F14" w:rsidRDefault="00911B74" w14:paraId="6588348B" w14:textId="77777777">
      <w:pPr>
        <w:spacing w:after="0" w:line="240" w:lineRule="auto"/>
      </w:pPr>
      <w:r>
        <w:separator/>
      </w:r>
    </w:p>
  </w:footnote>
  <w:footnote w:type="continuationSeparator" w:id="0">
    <w:p w:rsidR="00911B74" w:rsidP="00D56F14" w:rsidRDefault="00911B74" w14:paraId="09A9B178" w14:textId="7777777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Ind w:w="-90" w:type="dxa"/>
      <w:tblLook w:val="04A0" w:firstRow="1" w:lastRow="0" w:firstColumn="1" w:lastColumn="0" w:noHBand="0" w:noVBand="1"/>
    </w:tblPr>
    <w:tblGrid>
      <w:gridCol w:w="4559"/>
      <w:gridCol w:w="2158"/>
      <w:gridCol w:w="2359"/>
    </w:tblGrid>
    <w:tr w:rsidRPr="001C0C29" w:rsidR="00054252" w:rsidTr="008B12F3" w14:paraId="2B65DD80" w14:textId="77777777">
      <w:tc>
        <w:tcPr>
          <w:tcW w:w="4559" w:type="dxa"/>
          <w:hideMark/>
        </w:tcPr>
        <w:p w:rsidRPr="001C0C29" w:rsidR="00054252" w:rsidP="00054252" w:rsidRDefault="00054252" w14:paraId="60C1B7CC" w14:textId="0D8E3D7F">
          <w:pPr>
            <w:pStyle w:val="Encabezado"/>
            <w:rPr>
              <w:rFonts w:eastAsia="Calibri"/>
              <w:noProof/>
              <w:lang w:val="en-GB"/>
            </w:rPr>
          </w:pPr>
          <w:bookmarkStart w:name="_Hlk43972773" w:id="328"/>
          <w:r w:rsidRPr="00054252">
            <w:rPr>
              <w:rFonts w:eastAsia="Calibri"/>
              <w:noProof/>
              <w:lang w:val="en-GB"/>
            </w:rPr>
            <w:t>Número</w:t>
          </w:r>
          <w:r w:rsidRPr="001C0C29">
            <w:rPr>
              <w:rFonts w:eastAsia="Calibri"/>
              <w:noProof/>
              <w:lang w:val="en-GB"/>
            </w:rPr>
            <w:t xml:space="preserve">: </w:t>
          </w:r>
          <w:r w:rsidRPr="001C0C29">
            <w:rPr>
              <w:rFonts w:eastAsia="Calibri"/>
              <w:noProof/>
              <w:lang w:val="en-GB"/>
            </w:rPr>
            <w:fldChar w:fldCharType="begin"/>
          </w:r>
          <w:r w:rsidRPr="001C0C29">
            <w:rPr>
              <w:rFonts w:eastAsia="Calibri"/>
              <w:noProof/>
              <w:lang w:val="en-GB"/>
            </w:rPr>
            <w:instrText xml:space="preserve"> DOCPROPERTY  MC_Number  \* MERGEFORMAT </w:instrText>
          </w:r>
          <w:r w:rsidRPr="001C0C29">
            <w:rPr>
              <w:rFonts w:eastAsia="Calibri"/>
              <w:noProof/>
              <w:lang w:val="en-GB"/>
            </w:rPr>
            <w:fldChar w:fldCharType="separate"/>
          </w:r>
          <w:r w:rsidR="0066388A">
            <w:rPr>
              <w:rFonts w:eastAsia="Calibri"/>
              <w:noProof/>
              <w:lang w:val="en-GB"/>
            </w:rPr>
            <w:t>PROC-006916</w:t>
          </w:r>
          <w:r w:rsidRPr="001C0C29">
            <w:rPr>
              <w:rFonts w:eastAsia="Calibri"/>
              <w:noProof/>
              <w:lang w:val="en-GB"/>
            </w:rPr>
            <w:fldChar w:fldCharType="end"/>
          </w:r>
        </w:p>
      </w:tc>
      <w:tc>
        <w:tcPr>
          <w:tcW w:w="2158" w:type="dxa"/>
          <w:hideMark/>
        </w:tcPr>
        <w:p w:rsidRPr="001C0C29" w:rsidR="00054252" w:rsidP="00054252" w:rsidRDefault="00054252" w14:paraId="02B50A05" w14:textId="5FB737CF">
          <w:pPr>
            <w:pStyle w:val="Encabezado"/>
            <w:rPr>
              <w:rFonts w:eastAsia="Calibri"/>
              <w:noProof/>
              <w:lang w:val="en-GB"/>
            </w:rPr>
          </w:pPr>
          <w:r w:rsidRPr="00054252">
            <w:rPr>
              <w:rFonts w:eastAsia="Calibri"/>
              <w:noProof/>
              <w:lang w:val="en-GB"/>
            </w:rPr>
            <w:t>Revisión</w:t>
          </w:r>
          <w:r>
            <w:rPr>
              <w:rFonts w:eastAsia="Calibri"/>
              <w:noProof/>
              <w:lang w:val="en-GB"/>
            </w:rPr>
            <w:t>:</w:t>
          </w:r>
          <w:r w:rsidRPr="001C0C29">
            <w:rPr>
              <w:rFonts w:eastAsia="Calibri"/>
              <w:noProof/>
              <w:lang w:val="en-GB"/>
            </w:rPr>
            <w:t xml:space="preserve"> </w:t>
          </w:r>
          <w:r w:rsidRPr="001C0C29">
            <w:rPr>
              <w:rFonts w:eastAsia="Calibri"/>
              <w:noProof/>
              <w:lang w:val="en-GB"/>
            </w:rPr>
            <w:fldChar w:fldCharType="begin"/>
          </w:r>
          <w:r w:rsidRPr="001C0C29">
            <w:rPr>
              <w:rFonts w:eastAsia="Calibri"/>
              <w:noProof/>
              <w:lang w:val="en-GB"/>
            </w:rPr>
            <w:instrText xml:space="preserve"> DOCPROPERTY  MC_Revision  \* MERGEFORMAT </w:instrText>
          </w:r>
          <w:r w:rsidRPr="001C0C29">
            <w:rPr>
              <w:rFonts w:eastAsia="Calibri"/>
              <w:noProof/>
              <w:lang w:val="en-GB"/>
            </w:rPr>
            <w:fldChar w:fldCharType="separate"/>
          </w:r>
          <w:r w:rsidR="0066388A">
            <w:rPr>
              <w:rFonts w:eastAsia="Calibri"/>
              <w:noProof/>
              <w:lang w:val="en-GB"/>
            </w:rPr>
            <w:t>01</w:t>
          </w:r>
          <w:r w:rsidRPr="001C0C29">
            <w:rPr>
              <w:rFonts w:eastAsia="Calibri"/>
              <w:noProof/>
              <w:lang w:val="en-GB"/>
            </w:rPr>
            <w:fldChar w:fldCharType="end"/>
          </w:r>
        </w:p>
      </w:tc>
      <w:tc>
        <w:tcPr>
          <w:tcW w:w="2359" w:type="dxa"/>
          <w:hideMark/>
        </w:tcPr>
        <w:p w:rsidRPr="001C0C29" w:rsidR="00054252" w:rsidP="00054252" w:rsidRDefault="00054252" w14:paraId="764E0D6C" w14:textId="4C2A8F70">
          <w:pPr>
            <w:pStyle w:val="Encabezado"/>
            <w:rPr>
              <w:rFonts w:eastAsia="Calibri"/>
              <w:noProof/>
              <w:lang w:val="en-GB"/>
            </w:rPr>
          </w:pPr>
          <w:r w:rsidRPr="00054252">
            <w:rPr>
              <w:rFonts w:eastAsia="Calibri"/>
              <w:noProof/>
              <w:lang w:val="en-GB"/>
            </w:rPr>
            <w:t>Estado</w:t>
          </w:r>
          <w:r w:rsidRPr="001C0C29">
            <w:rPr>
              <w:rFonts w:eastAsia="Calibri"/>
              <w:noProof/>
              <w:lang w:val="en-GB"/>
            </w:rPr>
            <w:t xml:space="preserve">: </w:t>
          </w:r>
          <w:r w:rsidRPr="001C0C29">
            <w:rPr>
              <w:rFonts w:eastAsia="Calibri"/>
              <w:noProof/>
              <w:lang w:val="en-GB"/>
            </w:rPr>
            <w:fldChar w:fldCharType="begin"/>
          </w:r>
          <w:r w:rsidRPr="001C0C29">
            <w:rPr>
              <w:rFonts w:eastAsia="Calibri"/>
              <w:noProof/>
              <w:lang w:val="en-GB"/>
            </w:rPr>
            <w:instrText xml:space="preserve"> DOCPROPERTY  MC_Status  \* MERGEFORMAT </w:instrText>
          </w:r>
          <w:r w:rsidRPr="001C0C29">
            <w:rPr>
              <w:rFonts w:eastAsia="Calibri"/>
              <w:noProof/>
              <w:lang w:val="en-GB"/>
            </w:rPr>
            <w:fldChar w:fldCharType="separate"/>
          </w:r>
          <w:r w:rsidR="0066388A">
            <w:rPr>
              <w:rFonts w:eastAsia="Calibri"/>
              <w:noProof/>
              <w:lang w:val="en-GB"/>
            </w:rPr>
            <w:t>Release</w:t>
          </w:r>
          <w:r w:rsidRPr="001C0C29">
            <w:rPr>
              <w:rFonts w:eastAsia="Calibri"/>
              <w:noProof/>
              <w:lang w:val="en-GB"/>
            </w:rPr>
            <w:fldChar w:fldCharType="end"/>
          </w:r>
        </w:p>
      </w:tc>
    </w:tr>
    <w:bookmarkEnd w:id="328"/>
  </w:tbl>
  <w:p w:rsidRPr="006C5B01" w:rsidR="00054252" w:rsidRDefault="00054252" w14:paraId="7B68062C" w14:textId="77777777">
    <w:pPr>
      <w:pStyle w:val="Encabezado"/>
      <w:rPr>
        <w:lang w:val="es-ES"/>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Ind w:w="-90" w:type="dxa"/>
      <w:tblLook w:val="04A0" w:firstRow="1" w:lastRow="0" w:firstColumn="1" w:lastColumn="0" w:noHBand="0" w:noVBand="1"/>
    </w:tblPr>
    <w:tblGrid>
      <w:gridCol w:w="4559"/>
      <w:gridCol w:w="2158"/>
      <w:gridCol w:w="2359"/>
    </w:tblGrid>
    <w:tr w:rsidRPr="001C0C29" w:rsidR="00054252" w:rsidTr="008B12F3" w14:paraId="1901DD8F" w14:textId="77777777">
      <w:tc>
        <w:tcPr>
          <w:tcW w:w="4559" w:type="dxa"/>
          <w:hideMark/>
        </w:tcPr>
        <w:p w:rsidRPr="001C0C29" w:rsidR="00054252" w:rsidP="00054252" w:rsidRDefault="00054252" w14:paraId="7A6A619C" w14:textId="2A9F3ABE">
          <w:pPr>
            <w:pStyle w:val="Encabezado"/>
            <w:rPr>
              <w:rFonts w:eastAsia="Calibri"/>
              <w:noProof/>
              <w:lang w:val="en-GB"/>
            </w:rPr>
          </w:pPr>
          <w:r w:rsidRPr="00DF23B9">
            <w:rPr>
              <w:noProof/>
              <w:lang w:val="en-GB"/>
            </w:rPr>
            <w:t>Número</w:t>
          </w:r>
          <w:r w:rsidRPr="001C0C29">
            <w:rPr>
              <w:rFonts w:eastAsia="Calibri"/>
              <w:noProof/>
              <w:lang w:val="en-GB"/>
            </w:rPr>
            <w:t xml:space="preserve">: </w:t>
          </w:r>
          <w:r w:rsidRPr="001C0C29">
            <w:rPr>
              <w:rFonts w:eastAsia="Calibri"/>
              <w:noProof/>
              <w:lang w:val="en-GB"/>
            </w:rPr>
            <w:fldChar w:fldCharType="begin"/>
          </w:r>
          <w:r w:rsidRPr="001C0C29">
            <w:rPr>
              <w:rFonts w:eastAsia="Calibri"/>
              <w:noProof/>
              <w:lang w:val="en-GB"/>
            </w:rPr>
            <w:instrText xml:space="preserve"> DOCPROPERTY  MC_Number  \* MERGEFORMAT </w:instrText>
          </w:r>
          <w:r w:rsidRPr="001C0C29">
            <w:rPr>
              <w:rFonts w:eastAsia="Calibri"/>
              <w:noProof/>
              <w:lang w:val="en-GB"/>
            </w:rPr>
            <w:fldChar w:fldCharType="separate"/>
          </w:r>
          <w:r w:rsidR="0066388A">
            <w:rPr>
              <w:rFonts w:eastAsia="Calibri"/>
              <w:noProof/>
              <w:lang w:val="en-GB"/>
            </w:rPr>
            <w:t>PROC-006916</w:t>
          </w:r>
          <w:r w:rsidRPr="001C0C29">
            <w:rPr>
              <w:rFonts w:eastAsia="Calibri"/>
              <w:noProof/>
              <w:lang w:val="en-GB"/>
            </w:rPr>
            <w:fldChar w:fldCharType="end"/>
          </w:r>
        </w:p>
      </w:tc>
      <w:tc>
        <w:tcPr>
          <w:tcW w:w="2158" w:type="dxa"/>
          <w:hideMark/>
        </w:tcPr>
        <w:p w:rsidRPr="001C0C29" w:rsidR="00054252" w:rsidP="00054252" w:rsidRDefault="00054252" w14:paraId="5E2F9B2D" w14:textId="5A6C8452">
          <w:pPr>
            <w:pStyle w:val="Encabezado"/>
            <w:rPr>
              <w:rFonts w:eastAsia="Calibri"/>
              <w:noProof/>
              <w:lang w:val="en-GB"/>
            </w:rPr>
          </w:pPr>
          <w:r w:rsidRPr="00DF23B9">
            <w:rPr>
              <w:noProof/>
              <w:sz w:val="20"/>
              <w:lang w:val="en-GB"/>
            </w:rPr>
            <w:t>Revisión</w:t>
          </w:r>
          <w:r>
            <w:rPr>
              <w:rFonts w:eastAsia="Calibri"/>
              <w:noProof/>
              <w:lang w:val="en-GB"/>
            </w:rPr>
            <w:t>:</w:t>
          </w:r>
          <w:r w:rsidRPr="001C0C29">
            <w:rPr>
              <w:rFonts w:eastAsia="Calibri"/>
              <w:noProof/>
              <w:lang w:val="en-GB"/>
            </w:rPr>
            <w:t xml:space="preserve"> </w:t>
          </w:r>
          <w:r w:rsidRPr="001C0C29">
            <w:rPr>
              <w:rFonts w:eastAsia="Calibri"/>
              <w:noProof/>
              <w:lang w:val="en-GB"/>
            </w:rPr>
            <w:fldChar w:fldCharType="begin"/>
          </w:r>
          <w:r w:rsidRPr="001C0C29">
            <w:rPr>
              <w:rFonts w:eastAsia="Calibri"/>
              <w:noProof/>
              <w:lang w:val="en-GB"/>
            </w:rPr>
            <w:instrText xml:space="preserve"> DOCPROPERTY  MC_Revision  \* MERGEFORMAT </w:instrText>
          </w:r>
          <w:r w:rsidRPr="001C0C29">
            <w:rPr>
              <w:rFonts w:eastAsia="Calibri"/>
              <w:noProof/>
              <w:lang w:val="en-GB"/>
            </w:rPr>
            <w:fldChar w:fldCharType="separate"/>
          </w:r>
          <w:r w:rsidR="0066388A">
            <w:rPr>
              <w:rFonts w:eastAsia="Calibri"/>
              <w:noProof/>
              <w:lang w:val="en-GB"/>
            </w:rPr>
            <w:t>01</w:t>
          </w:r>
          <w:r w:rsidRPr="001C0C29">
            <w:rPr>
              <w:rFonts w:eastAsia="Calibri"/>
              <w:noProof/>
              <w:lang w:val="en-GB"/>
            </w:rPr>
            <w:fldChar w:fldCharType="end"/>
          </w:r>
        </w:p>
      </w:tc>
      <w:tc>
        <w:tcPr>
          <w:tcW w:w="2359" w:type="dxa"/>
          <w:hideMark/>
        </w:tcPr>
        <w:p w:rsidRPr="001C0C29" w:rsidR="00054252" w:rsidP="00054252" w:rsidRDefault="00054252" w14:paraId="6360F0C7" w14:textId="4F05D7C1">
          <w:pPr>
            <w:pStyle w:val="Encabezado"/>
            <w:rPr>
              <w:rFonts w:eastAsia="Calibri"/>
              <w:noProof/>
              <w:lang w:val="en-GB"/>
            </w:rPr>
          </w:pPr>
          <w:r w:rsidRPr="00DF23B9">
            <w:rPr>
              <w:noProof/>
              <w:sz w:val="20"/>
              <w:lang w:val="en-GB"/>
            </w:rPr>
            <w:t>Estado</w:t>
          </w:r>
          <w:r w:rsidRPr="001C0C29">
            <w:rPr>
              <w:rFonts w:eastAsia="Calibri"/>
              <w:noProof/>
              <w:lang w:val="en-GB"/>
            </w:rPr>
            <w:t xml:space="preserve">: </w:t>
          </w:r>
          <w:r w:rsidRPr="001C0C29">
            <w:rPr>
              <w:rFonts w:eastAsia="Calibri"/>
              <w:noProof/>
              <w:lang w:val="en-GB"/>
            </w:rPr>
            <w:fldChar w:fldCharType="begin"/>
          </w:r>
          <w:r w:rsidRPr="001C0C29">
            <w:rPr>
              <w:rFonts w:eastAsia="Calibri"/>
              <w:noProof/>
              <w:lang w:val="en-GB"/>
            </w:rPr>
            <w:instrText xml:space="preserve"> DOCPROPERTY  MC_Status  \* MERGEFORMAT </w:instrText>
          </w:r>
          <w:r w:rsidRPr="001C0C29">
            <w:rPr>
              <w:rFonts w:eastAsia="Calibri"/>
              <w:noProof/>
              <w:lang w:val="en-GB"/>
            </w:rPr>
            <w:fldChar w:fldCharType="separate"/>
          </w:r>
          <w:r w:rsidR="0066388A">
            <w:rPr>
              <w:rFonts w:eastAsia="Calibri"/>
              <w:noProof/>
              <w:lang w:val="en-GB"/>
            </w:rPr>
            <w:t>Release</w:t>
          </w:r>
          <w:r w:rsidRPr="001C0C29">
            <w:rPr>
              <w:rFonts w:eastAsia="Calibri"/>
              <w:noProof/>
              <w:lang w:val="en-GB"/>
            </w:rPr>
            <w:fldChar w:fldCharType="end"/>
          </w:r>
        </w:p>
      </w:tc>
    </w:tr>
    <w:tr w:rsidRPr="009929C8" w:rsidR="00054252" w:rsidTr="00054252" w14:paraId="6E67597D" w14:textId="77777777">
      <w:tc>
        <w:tcPr>
          <w:tcW w:w="9076" w:type="dxa"/>
          <w:gridSpan w:val="3"/>
          <w:hideMark/>
        </w:tcPr>
        <w:p w:rsidRPr="00054252" w:rsidR="00054252" w:rsidP="00054252" w:rsidRDefault="00054252" w14:paraId="779D7390" w14:textId="252DC54F">
          <w:pPr>
            <w:pStyle w:val="Encabezado"/>
            <w:rPr>
              <w:rFonts w:eastAsia="Calibri"/>
              <w:noProof/>
              <w:lang w:val="es-ES"/>
            </w:rPr>
          </w:pPr>
          <w:r w:rsidRPr="00E802FE">
            <w:rPr>
              <w:noProof/>
              <w:lang w:val="es-ES"/>
            </w:rPr>
            <w:t>Título Local</w:t>
          </w:r>
          <w:r w:rsidRPr="00054252">
            <w:rPr>
              <w:rFonts w:eastAsia="Calibri"/>
              <w:noProof/>
              <w:lang w:val="es-ES"/>
            </w:rPr>
            <w:t xml:space="preserve">: </w:t>
          </w:r>
          <w:r w:rsidRPr="001C0C29">
            <w:rPr>
              <w:rFonts w:eastAsia="Calibri"/>
              <w:noProof/>
              <w:lang w:val="en-GB"/>
            </w:rPr>
            <w:fldChar w:fldCharType="begin"/>
          </w:r>
          <w:r w:rsidRPr="00054252">
            <w:rPr>
              <w:rFonts w:eastAsia="Calibri"/>
              <w:noProof/>
              <w:lang w:val="es-ES"/>
            </w:rPr>
            <w:instrText xml:space="preserve"> DOCPROPERTY  MC_Title  \* MERGEFORMAT </w:instrText>
          </w:r>
          <w:r w:rsidRPr="001C0C29">
            <w:rPr>
              <w:rFonts w:eastAsia="Calibri"/>
              <w:noProof/>
              <w:lang w:val="en-GB"/>
            </w:rPr>
            <w:fldChar w:fldCharType="separate"/>
          </w:r>
          <w:r w:rsidR="0066388A">
            <w:rPr>
              <w:rFonts w:eastAsia="Calibri"/>
              <w:noProof/>
              <w:lang w:val="es-ES"/>
            </w:rPr>
            <w:t>Tratamiento de datos personales</w:t>
          </w:r>
          <w:r w:rsidRPr="001C0C29">
            <w:rPr>
              <w:rFonts w:eastAsia="Calibri"/>
              <w:noProof/>
              <w:lang w:val="en-GB"/>
            </w:rPr>
            <w:fldChar w:fldCharType="end"/>
          </w:r>
        </w:p>
      </w:tc>
    </w:tr>
  </w:tbl>
  <w:p w:rsidRPr="00054252" w:rsidR="00054252" w:rsidRDefault="00054252" w14:paraId="10B492A4" w14:textId="77777777">
    <w:pPr>
      <w:pStyle w:val="Encabezado"/>
      <w:rPr>
        <w:lang w:val="es-E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541059"/>
    <w:multiLevelType w:val="hybridMultilevel"/>
    <w:tmpl w:val="A3600E20"/>
    <w:lvl w:ilvl="0" w:tplc="0C0A000B">
      <w:start w:val="1"/>
      <w:numFmt w:val="bullet"/>
      <w:lvlText w:val=""/>
      <w:lvlJc w:val="left"/>
      <w:pPr>
        <w:ind w:left="720" w:hanging="360"/>
      </w:pPr>
      <w:rPr>
        <w:rFonts w:hint="default" w:ascii="Wingdings" w:hAnsi="Wingdings"/>
      </w:rPr>
    </w:lvl>
    <w:lvl w:ilvl="1" w:tplc="0C0A0003">
      <w:start w:val="1"/>
      <w:numFmt w:val="bullet"/>
      <w:lvlText w:val="o"/>
      <w:lvlJc w:val="left"/>
      <w:pPr>
        <w:ind w:left="1440" w:hanging="360"/>
      </w:pPr>
      <w:rPr>
        <w:rFonts w:hint="default" w:ascii="Courier New" w:hAnsi="Courier New" w:cs="Courier New"/>
      </w:rPr>
    </w:lvl>
    <w:lvl w:ilvl="2" w:tplc="0C0A0005">
      <w:start w:val="1"/>
      <w:numFmt w:val="bullet"/>
      <w:lvlText w:val=""/>
      <w:lvlJc w:val="left"/>
      <w:pPr>
        <w:ind w:left="2160" w:hanging="360"/>
      </w:pPr>
      <w:rPr>
        <w:rFonts w:hint="default" w:ascii="Wingdings" w:hAnsi="Wingdings"/>
      </w:rPr>
    </w:lvl>
    <w:lvl w:ilvl="3" w:tplc="0C0A0001">
      <w:start w:val="1"/>
      <w:numFmt w:val="bullet"/>
      <w:lvlText w:val=""/>
      <w:lvlJc w:val="left"/>
      <w:pPr>
        <w:ind w:left="2880" w:hanging="360"/>
      </w:pPr>
      <w:rPr>
        <w:rFonts w:hint="default" w:ascii="Symbol" w:hAnsi="Symbol"/>
      </w:rPr>
    </w:lvl>
    <w:lvl w:ilvl="4" w:tplc="0C0A0003">
      <w:start w:val="1"/>
      <w:numFmt w:val="bullet"/>
      <w:lvlText w:val="o"/>
      <w:lvlJc w:val="left"/>
      <w:pPr>
        <w:ind w:left="3600" w:hanging="360"/>
      </w:pPr>
      <w:rPr>
        <w:rFonts w:hint="default" w:ascii="Courier New" w:hAnsi="Courier New" w:cs="Courier New"/>
      </w:rPr>
    </w:lvl>
    <w:lvl w:ilvl="5" w:tplc="0C0A0005">
      <w:start w:val="1"/>
      <w:numFmt w:val="bullet"/>
      <w:lvlText w:val=""/>
      <w:lvlJc w:val="left"/>
      <w:pPr>
        <w:ind w:left="4320" w:hanging="360"/>
      </w:pPr>
      <w:rPr>
        <w:rFonts w:hint="default" w:ascii="Wingdings" w:hAnsi="Wingdings"/>
      </w:rPr>
    </w:lvl>
    <w:lvl w:ilvl="6" w:tplc="0C0A0001">
      <w:start w:val="1"/>
      <w:numFmt w:val="bullet"/>
      <w:lvlText w:val=""/>
      <w:lvlJc w:val="left"/>
      <w:pPr>
        <w:ind w:left="5040" w:hanging="360"/>
      </w:pPr>
      <w:rPr>
        <w:rFonts w:hint="default" w:ascii="Symbol" w:hAnsi="Symbol"/>
      </w:rPr>
    </w:lvl>
    <w:lvl w:ilvl="7" w:tplc="0C0A0003">
      <w:start w:val="1"/>
      <w:numFmt w:val="bullet"/>
      <w:lvlText w:val="o"/>
      <w:lvlJc w:val="left"/>
      <w:pPr>
        <w:ind w:left="5760" w:hanging="360"/>
      </w:pPr>
      <w:rPr>
        <w:rFonts w:hint="default" w:ascii="Courier New" w:hAnsi="Courier New" w:cs="Courier New"/>
      </w:rPr>
    </w:lvl>
    <w:lvl w:ilvl="8" w:tplc="0C0A0005">
      <w:start w:val="1"/>
      <w:numFmt w:val="bullet"/>
      <w:lvlText w:val=""/>
      <w:lvlJc w:val="left"/>
      <w:pPr>
        <w:ind w:left="6480" w:hanging="360"/>
      </w:pPr>
      <w:rPr>
        <w:rFonts w:hint="default" w:ascii="Wingdings" w:hAnsi="Wingdings"/>
      </w:rPr>
    </w:lvl>
  </w:abstractNum>
  <w:abstractNum w:abstractNumId="1" w15:restartNumberingAfterBreak="0">
    <w:nsid w:val="0F0F5BD7"/>
    <w:multiLevelType w:val="hybridMultilevel"/>
    <w:tmpl w:val="FF5C04C6"/>
    <w:lvl w:ilvl="0" w:tplc="080A0003">
      <w:start w:val="1"/>
      <w:numFmt w:val="bullet"/>
      <w:lvlText w:val="o"/>
      <w:lvlJc w:val="left"/>
      <w:pPr>
        <w:ind w:left="785" w:hanging="360"/>
      </w:pPr>
      <w:rPr>
        <w:rFonts w:hint="default" w:ascii="Courier New" w:hAnsi="Courier New" w:cs="Courier New"/>
      </w:rPr>
    </w:lvl>
    <w:lvl w:ilvl="1" w:tplc="080A0003" w:tentative="1">
      <w:start w:val="1"/>
      <w:numFmt w:val="bullet"/>
      <w:lvlText w:val="o"/>
      <w:lvlJc w:val="left"/>
      <w:pPr>
        <w:ind w:left="1505" w:hanging="360"/>
      </w:pPr>
      <w:rPr>
        <w:rFonts w:hint="default" w:ascii="Courier New" w:hAnsi="Courier New" w:cs="Courier New"/>
      </w:rPr>
    </w:lvl>
    <w:lvl w:ilvl="2" w:tplc="080A0005" w:tentative="1">
      <w:start w:val="1"/>
      <w:numFmt w:val="bullet"/>
      <w:lvlText w:val=""/>
      <w:lvlJc w:val="left"/>
      <w:pPr>
        <w:ind w:left="2225" w:hanging="360"/>
      </w:pPr>
      <w:rPr>
        <w:rFonts w:hint="default" w:ascii="Wingdings" w:hAnsi="Wingdings"/>
      </w:rPr>
    </w:lvl>
    <w:lvl w:ilvl="3" w:tplc="080A0001" w:tentative="1">
      <w:start w:val="1"/>
      <w:numFmt w:val="bullet"/>
      <w:lvlText w:val=""/>
      <w:lvlJc w:val="left"/>
      <w:pPr>
        <w:ind w:left="2945" w:hanging="360"/>
      </w:pPr>
      <w:rPr>
        <w:rFonts w:hint="default" w:ascii="Symbol" w:hAnsi="Symbol"/>
      </w:rPr>
    </w:lvl>
    <w:lvl w:ilvl="4" w:tplc="080A0003" w:tentative="1">
      <w:start w:val="1"/>
      <w:numFmt w:val="bullet"/>
      <w:lvlText w:val="o"/>
      <w:lvlJc w:val="left"/>
      <w:pPr>
        <w:ind w:left="3665" w:hanging="360"/>
      </w:pPr>
      <w:rPr>
        <w:rFonts w:hint="default" w:ascii="Courier New" w:hAnsi="Courier New" w:cs="Courier New"/>
      </w:rPr>
    </w:lvl>
    <w:lvl w:ilvl="5" w:tplc="080A0005" w:tentative="1">
      <w:start w:val="1"/>
      <w:numFmt w:val="bullet"/>
      <w:lvlText w:val=""/>
      <w:lvlJc w:val="left"/>
      <w:pPr>
        <w:ind w:left="4385" w:hanging="360"/>
      </w:pPr>
      <w:rPr>
        <w:rFonts w:hint="default" w:ascii="Wingdings" w:hAnsi="Wingdings"/>
      </w:rPr>
    </w:lvl>
    <w:lvl w:ilvl="6" w:tplc="080A0001" w:tentative="1">
      <w:start w:val="1"/>
      <w:numFmt w:val="bullet"/>
      <w:lvlText w:val=""/>
      <w:lvlJc w:val="left"/>
      <w:pPr>
        <w:ind w:left="5105" w:hanging="360"/>
      </w:pPr>
      <w:rPr>
        <w:rFonts w:hint="default" w:ascii="Symbol" w:hAnsi="Symbol"/>
      </w:rPr>
    </w:lvl>
    <w:lvl w:ilvl="7" w:tplc="080A0003" w:tentative="1">
      <w:start w:val="1"/>
      <w:numFmt w:val="bullet"/>
      <w:lvlText w:val="o"/>
      <w:lvlJc w:val="left"/>
      <w:pPr>
        <w:ind w:left="5825" w:hanging="360"/>
      </w:pPr>
      <w:rPr>
        <w:rFonts w:hint="default" w:ascii="Courier New" w:hAnsi="Courier New" w:cs="Courier New"/>
      </w:rPr>
    </w:lvl>
    <w:lvl w:ilvl="8" w:tplc="080A0005" w:tentative="1">
      <w:start w:val="1"/>
      <w:numFmt w:val="bullet"/>
      <w:lvlText w:val=""/>
      <w:lvlJc w:val="left"/>
      <w:pPr>
        <w:ind w:left="6545" w:hanging="360"/>
      </w:pPr>
      <w:rPr>
        <w:rFonts w:hint="default" w:ascii="Wingdings" w:hAnsi="Wingdings"/>
      </w:rPr>
    </w:lvl>
  </w:abstractNum>
  <w:abstractNum w:abstractNumId="2" w15:restartNumberingAfterBreak="0">
    <w:nsid w:val="110633F6"/>
    <w:multiLevelType w:val="hybridMultilevel"/>
    <w:tmpl w:val="0A06CE16"/>
    <w:lvl w:ilvl="0" w:tplc="0C0A000B">
      <w:start w:val="1"/>
      <w:numFmt w:val="bullet"/>
      <w:lvlText w:val=""/>
      <w:lvlJc w:val="left"/>
      <w:pPr>
        <w:ind w:left="790" w:hanging="360"/>
      </w:pPr>
      <w:rPr>
        <w:rFonts w:hint="default" w:ascii="Wingdings" w:hAnsi="Wingdings"/>
      </w:rPr>
    </w:lvl>
    <w:lvl w:ilvl="1" w:tplc="0C0A0003">
      <w:start w:val="1"/>
      <w:numFmt w:val="bullet"/>
      <w:lvlText w:val="o"/>
      <w:lvlJc w:val="left"/>
      <w:pPr>
        <w:ind w:left="1510" w:hanging="360"/>
      </w:pPr>
      <w:rPr>
        <w:rFonts w:hint="default" w:ascii="Courier New" w:hAnsi="Courier New" w:cs="Courier New"/>
      </w:rPr>
    </w:lvl>
    <w:lvl w:ilvl="2" w:tplc="0C0A0005">
      <w:start w:val="1"/>
      <w:numFmt w:val="bullet"/>
      <w:lvlText w:val=""/>
      <w:lvlJc w:val="left"/>
      <w:pPr>
        <w:ind w:left="2230" w:hanging="360"/>
      </w:pPr>
      <w:rPr>
        <w:rFonts w:hint="default" w:ascii="Wingdings" w:hAnsi="Wingdings"/>
      </w:rPr>
    </w:lvl>
    <w:lvl w:ilvl="3" w:tplc="0C0A0001">
      <w:start w:val="1"/>
      <w:numFmt w:val="bullet"/>
      <w:lvlText w:val=""/>
      <w:lvlJc w:val="left"/>
      <w:pPr>
        <w:ind w:left="2950" w:hanging="360"/>
      </w:pPr>
      <w:rPr>
        <w:rFonts w:hint="default" w:ascii="Symbol" w:hAnsi="Symbol"/>
      </w:rPr>
    </w:lvl>
    <w:lvl w:ilvl="4" w:tplc="0C0A0003">
      <w:start w:val="1"/>
      <w:numFmt w:val="bullet"/>
      <w:lvlText w:val="o"/>
      <w:lvlJc w:val="left"/>
      <w:pPr>
        <w:ind w:left="3670" w:hanging="360"/>
      </w:pPr>
      <w:rPr>
        <w:rFonts w:hint="default" w:ascii="Courier New" w:hAnsi="Courier New" w:cs="Courier New"/>
      </w:rPr>
    </w:lvl>
    <w:lvl w:ilvl="5" w:tplc="0C0A0005">
      <w:start w:val="1"/>
      <w:numFmt w:val="bullet"/>
      <w:lvlText w:val=""/>
      <w:lvlJc w:val="left"/>
      <w:pPr>
        <w:ind w:left="4390" w:hanging="360"/>
      </w:pPr>
      <w:rPr>
        <w:rFonts w:hint="default" w:ascii="Wingdings" w:hAnsi="Wingdings"/>
      </w:rPr>
    </w:lvl>
    <w:lvl w:ilvl="6" w:tplc="0C0A0001">
      <w:start w:val="1"/>
      <w:numFmt w:val="bullet"/>
      <w:lvlText w:val=""/>
      <w:lvlJc w:val="left"/>
      <w:pPr>
        <w:ind w:left="5110" w:hanging="360"/>
      </w:pPr>
      <w:rPr>
        <w:rFonts w:hint="default" w:ascii="Symbol" w:hAnsi="Symbol"/>
      </w:rPr>
    </w:lvl>
    <w:lvl w:ilvl="7" w:tplc="0C0A0003">
      <w:start w:val="1"/>
      <w:numFmt w:val="bullet"/>
      <w:lvlText w:val="o"/>
      <w:lvlJc w:val="left"/>
      <w:pPr>
        <w:ind w:left="5830" w:hanging="360"/>
      </w:pPr>
      <w:rPr>
        <w:rFonts w:hint="default" w:ascii="Courier New" w:hAnsi="Courier New" w:cs="Courier New"/>
      </w:rPr>
    </w:lvl>
    <w:lvl w:ilvl="8" w:tplc="0C0A0005">
      <w:start w:val="1"/>
      <w:numFmt w:val="bullet"/>
      <w:lvlText w:val=""/>
      <w:lvlJc w:val="left"/>
      <w:pPr>
        <w:ind w:left="6550" w:hanging="360"/>
      </w:pPr>
      <w:rPr>
        <w:rFonts w:hint="default" w:ascii="Wingdings" w:hAnsi="Wingdings"/>
      </w:rPr>
    </w:lvl>
  </w:abstractNum>
  <w:abstractNum w:abstractNumId="3" w15:restartNumberingAfterBreak="0">
    <w:nsid w:val="14066900"/>
    <w:multiLevelType w:val="hybridMultilevel"/>
    <w:tmpl w:val="D0783DA6"/>
    <w:lvl w:ilvl="0" w:tplc="080A0001">
      <w:start w:val="1"/>
      <w:numFmt w:val="bullet"/>
      <w:lvlText w:val=""/>
      <w:lvlJc w:val="left"/>
      <w:pPr>
        <w:ind w:left="720" w:hanging="360"/>
      </w:pPr>
      <w:rPr>
        <w:rFonts w:hint="default" w:ascii="Symbol" w:hAnsi="Symbol"/>
      </w:rPr>
    </w:lvl>
    <w:lvl w:ilvl="1" w:tplc="080A0003" w:tentative="1">
      <w:start w:val="1"/>
      <w:numFmt w:val="bullet"/>
      <w:lvlText w:val="o"/>
      <w:lvlJc w:val="left"/>
      <w:pPr>
        <w:ind w:left="1440" w:hanging="360"/>
      </w:pPr>
      <w:rPr>
        <w:rFonts w:hint="default" w:ascii="Courier New" w:hAnsi="Courier New" w:cs="Courier New"/>
      </w:rPr>
    </w:lvl>
    <w:lvl w:ilvl="2" w:tplc="080A0005" w:tentative="1">
      <w:start w:val="1"/>
      <w:numFmt w:val="bullet"/>
      <w:lvlText w:val=""/>
      <w:lvlJc w:val="left"/>
      <w:pPr>
        <w:ind w:left="2160" w:hanging="360"/>
      </w:pPr>
      <w:rPr>
        <w:rFonts w:hint="default" w:ascii="Wingdings" w:hAnsi="Wingdings"/>
      </w:rPr>
    </w:lvl>
    <w:lvl w:ilvl="3" w:tplc="080A0001" w:tentative="1">
      <w:start w:val="1"/>
      <w:numFmt w:val="bullet"/>
      <w:lvlText w:val=""/>
      <w:lvlJc w:val="left"/>
      <w:pPr>
        <w:ind w:left="2880" w:hanging="360"/>
      </w:pPr>
      <w:rPr>
        <w:rFonts w:hint="default" w:ascii="Symbol" w:hAnsi="Symbol"/>
      </w:rPr>
    </w:lvl>
    <w:lvl w:ilvl="4" w:tplc="080A0003" w:tentative="1">
      <w:start w:val="1"/>
      <w:numFmt w:val="bullet"/>
      <w:lvlText w:val="o"/>
      <w:lvlJc w:val="left"/>
      <w:pPr>
        <w:ind w:left="3600" w:hanging="360"/>
      </w:pPr>
      <w:rPr>
        <w:rFonts w:hint="default" w:ascii="Courier New" w:hAnsi="Courier New" w:cs="Courier New"/>
      </w:rPr>
    </w:lvl>
    <w:lvl w:ilvl="5" w:tplc="080A0005" w:tentative="1">
      <w:start w:val="1"/>
      <w:numFmt w:val="bullet"/>
      <w:lvlText w:val=""/>
      <w:lvlJc w:val="left"/>
      <w:pPr>
        <w:ind w:left="4320" w:hanging="360"/>
      </w:pPr>
      <w:rPr>
        <w:rFonts w:hint="default" w:ascii="Wingdings" w:hAnsi="Wingdings"/>
      </w:rPr>
    </w:lvl>
    <w:lvl w:ilvl="6" w:tplc="080A0001" w:tentative="1">
      <w:start w:val="1"/>
      <w:numFmt w:val="bullet"/>
      <w:lvlText w:val=""/>
      <w:lvlJc w:val="left"/>
      <w:pPr>
        <w:ind w:left="5040" w:hanging="360"/>
      </w:pPr>
      <w:rPr>
        <w:rFonts w:hint="default" w:ascii="Symbol" w:hAnsi="Symbol"/>
      </w:rPr>
    </w:lvl>
    <w:lvl w:ilvl="7" w:tplc="080A0003" w:tentative="1">
      <w:start w:val="1"/>
      <w:numFmt w:val="bullet"/>
      <w:lvlText w:val="o"/>
      <w:lvlJc w:val="left"/>
      <w:pPr>
        <w:ind w:left="5760" w:hanging="360"/>
      </w:pPr>
      <w:rPr>
        <w:rFonts w:hint="default" w:ascii="Courier New" w:hAnsi="Courier New" w:cs="Courier New"/>
      </w:rPr>
    </w:lvl>
    <w:lvl w:ilvl="8" w:tplc="080A0005" w:tentative="1">
      <w:start w:val="1"/>
      <w:numFmt w:val="bullet"/>
      <w:lvlText w:val=""/>
      <w:lvlJc w:val="left"/>
      <w:pPr>
        <w:ind w:left="6480" w:hanging="360"/>
      </w:pPr>
      <w:rPr>
        <w:rFonts w:hint="default" w:ascii="Wingdings" w:hAnsi="Wingdings"/>
      </w:rPr>
    </w:lvl>
  </w:abstractNum>
  <w:abstractNum w:abstractNumId="4" w15:restartNumberingAfterBreak="0">
    <w:nsid w:val="1C8E259F"/>
    <w:multiLevelType w:val="multilevel"/>
    <w:tmpl w:val="F39C2F3E"/>
    <w:lvl w:ilvl="0">
      <w:start w:val="1"/>
      <w:numFmt w:val="bullet"/>
      <w:lvlText w:val=""/>
      <w:lvlJc w:val="left"/>
      <w:pPr>
        <w:tabs>
          <w:tab w:val="num" w:pos="720"/>
        </w:tabs>
        <w:ind w:left="720" w:hanging="360"/>
      </w:pPr>
      <w:rPr>
        <w:rFonts w:hint="default" w:ascii="Symbol" w:hAnsi="Symbol"/>
        <w:sz w:val="20"/>
      </w:rPr>
    </w:lvl>
    <w:lvl w:ilvl="1" w:tentative="1">
      <w:start w:val="1"/>
      <w:numFmt w:val="bullet"/>
      <w:lvlText w:val="o"/>
      <w:lvlJc w:val="left"/>
      <w:pPr>
        <w:tabs>
          <w:tab w:val="num" w:pos="1440"/>
        </w:tabs>
        <w:ind w:left="1440" w:hanging="360"/>
      </w:pPr>
      <w:rPr>
        <w:rFonts w:hint="default" w:ascii="Courier New" w:hAnsi="Courier New"/>
        <w:sz w:val="20"/>
      </w:rPr>
    </w:lvl>
    <w:lvl w:ilvl="2" w:tentative="1">
      <w:start w:val="1"/>
      <w:numFmt w:val="bullet"/>
      <w:lvlText w:val=""/>
      <w:lvlJc w:val="left"/>
      <w:pPr>
        <w:tabs>
          <w:tab w:val="num" w:pos="2160"/>
        </w:tabs>
        <w:ind w:left="2160" w:hanging="360"/>
      </w:pPr>
      <w:rPr>
        <w:rFonts w:hint="default" w:ascii="Wingdings" w:hAnsi="Wingdings"/>
        <w:sz w:val="20"/>
      </w:rPr>
    </w:lvl>
    <w:lvl w:ilvl="3" w:tentative="1">
      <w:start w:val="1"/>
      <w:numFmt w:val="bullet"/>
      <w:lvlText w:val=""/>
      <w:lvlJc w:val="left"/>
      <w:pPr>
        <w:tabs>
          <w:tab w:val="num" w:pos="2880"/>
        </w:tabs>
        <w:ind w:left="2880" w:hanging="360"/>
      </w:pPr>
      <w:rPr>
        <w:rFonts w:hint="default" w:ascii="Wingdings" w:hAnsi="Wingdings"/>
        <w:sz w:val="20"/>
      </w:rPr>
    </w:lvl>
    <w:lvl w:ilvl="4" w:tentative="1">
      <w:start w:val="1"/>
      <w:numFmt w:val="bullet"/>
      <w:lvlText w:val=""/>
      <w:lvlJc w:val="left"/>
      <w:pPr>
        <w:tabs>
          <w:tab w:val="num" w:pos="3600"/>
        </w:tabs>
        <w:ind w:left="3600" w:hanging="360"/>
      </w:pPr>
      <w:rPr>
        <w:rFonts w:hint="default" w:ascii="Wingdings" w:hAnsi="Wingdings"/>
        <w:sz w:val="20"/>
      </w:rPr>
    </w:lvl>
    <w:lvl w:ilvl="5" w:tentative="1">
      <w:start w:val="1"/>
      <w:numFmt w:val="bullet"/>
      <w:lvlText w:val=""/>
      <w:lvlJc w:val="left"/>
      <w:pPr>
        <w:tabs>
          <w:tab w:val="num" w:pos="4320"/>
        </w:tabs>
        <w:ind w:left="4320" w:hanging="360"/>
      </w:pPr>
      <w:rPr>
        <w:rFonts w:hint="default" w:ascii="Wingdings" w:hAnsi="Wingdings"/>
        <w:sz w:val="20"/>
      </w:rPr>
    </w:lvl>
    <w:lvl w:ilvl="6" w:tentative="1">
      <w:start w:val="1"/>
      <w:numFmt w:val="bullet"/>
      <w:lvlText w:val=""/>
      <w:lvlJc w:val="left"/>
      <w:pPr>
        <w:tabs>
          <w:tab w:val="num" w:pos="5040"/>
        </w:tabs>
        <w:ind w:left="5040" w:hanging="360"/>
      </w:pPr>
      <w:rPr>
        <w:rFonts w:hint="default" w:ascii="Wingdings" w:hAnsi="Wingdings"/>
        <w:sz w:val="20"/>
      </w:rPr>
    </w:lvl>
    <w:lvl w:ilvl="7" w:tentative="1">
      <w:start w:val="1"/>
      <w:numFmt w:val="bullet"/>
      <w:lvlText w:val=""/>
      <w:lvlJc w:val="left"/>
      <w:pPr>
        <w:tabs>
          <w:tab w:val="num" w:pos="5760"/>
        </w:tabs>
        <w:ind w:left="5760" w:hanging="360"/>
      </w:pPr>
      <w:rPr>
        <w:rFonts w:hint="default" w:ascii="Wingdings" w:hAnsi="Wingdings"/>
        <w:sz w:val="20"/>
      </w:rPr>
    </w:lvl>
    <w:lvl w:ilvl="8" w:tentative="1">
      <w:start w:val="1"/>
      <w:numFmt w:val="bullet"/>
      <w:lvlText w:val=""/>
      <w:lvlJc w:val="left"/>
      <w:pPr>
        <w:tabs>
          <w:tab w:val="num" w:pos="6480"/>
        </w:tabs>
        <w:ind w:left="6480" w:hanging="360"/>
      </w:pPr>
      <w:rPr>
        <w:rFonts w:hint="default" w:ascii="Wingdings" w:hAnsi="Wingdings"/>
        <w:sz w:val="20"/>
      </w:rPr>
    </w:lvl>
  </w:abstractNum>
  <w:abstractNum w:abstractNumId="5" w15:restartNumberingAfterBreak="0">
    <w:nsid w:val="1D881CE1"/>
    <w:multiLevelType w:val="hybridMultilevel"/>
    <w:tmpl w:val="3B70C644"/>
    <w:lvl w:ilvl="0" w:tplc="04070001">
      <w:start w:val="1"/>
      <w:numFmt w:val="bullet"/>
      <w:lvlText w:val=""/>
      <w:lvlJc w:val="left"/>
      <w:pPr>
        <w:ind w:left="720" w:hanging="360"/>
      </w:pPr>
      <w:rPr>
        <w:rFonts w:hint="default" w:ascii="Symbol" w:hAnsi="Symbol"/>
      </w:rPr>
    </w:lvl>
    <w:lvl w:ilvl="1" w:tplc="04070003">
      <w:start w:val="1"/>
      <w:numFmt w:val="bullet"/>
      <w:lvlText w:val="o"/>
      <w:lvlJc w:val="left"/>
      <w:pPr>
        <w:ind w:left="1440" w:hanging="360"/>
      </w:pPr>
      <w:rPr>
        <w:rFonts w:hint="default" w:ascii="Courier New" w:hAnsi="Courier New" w:cs="Courier New"/>
      </w:rPr>
    </w:lvl>
    <w:lvl w:ilvl="2" w:tplc="04070005">
      <w:start w:val="1"/>
      <w:numFmt w:val="bullet"/>
      <w:lvlText w:val=""/>
      <w:lvlJc w:val="left"/>
      <w:pPr>
        <w:ind w:left="2160" w:hanging="360"/>
      </w:pPr>
      <w:rPr>
        <w:rFonts w:hint="default" w:ascii="Wingdings" w:hAnsi="Wingdings"/>
      </w:rPr>
    </w:lvl>
    <w:lvl w:ilvl="3" w:tplc="04070001">
      <w:start w:val="1"/>
      <w:numFmt w:val="bullet"/>
      <w:lvlText w:val=""/>
      <w:lvlJc w:val="left"/>
      <w:pPr>
        <w:ind w:left="2880" w:hanging="360"/>
      </w:pPr>
      <w:rPr>
        <w:rFonts w:hint="default" w:ascii="Symbol" w:hAnsi="Symbol"/>
      </w:rPr>
    </w:lvl>
    <w:lvl w:ilvl="4" w:tplc="04070003">
      <w:start w:val="1"/>
      <w:numFmt w:val="bullet"/>
      <w:lvlText w:val="o"/>
      <w:lvlJc w:val="left"/>
      <w:pPr>
        <w:ind w:left="3600" w:hanging="360"/>
      </w:pPr>
      <w:rPr>
        <w:rFonts w:hint="default" w:ascii="Courier New" w:hAnsi="Courier New" w:cs="Courier New"/>
      </w:rPr>
    </w:lvl>
    <w:lvl w:ilvl="5" w:tplc="04070005">
      <w:start w:val="1"/>
      <w:numFmt w:val="bullet"/>
      <w:lvlText w:val=""/>
      <w:lvlJc w:val="left"/>
      <w:pPr>
        <w:ind w:left="4320" w:hanging="360"/>
      </w:pPr>
      <w:rPr>
        <w:rFonts w:hint="default" w:ascii="Wingdings" w:hAnsi="Wingdings"/>
      </w:rPr>
    </w:lvl>
    <w:lvl w:ilvl="6" w:tplc="04070001">
      <w:start w:val="1"/>
      <w:numFmt w:val="bullet"/>
      <w:lvlText w:val=""/>
      <w:lvlJc w:val="left"/>
      <w:pPr>
        <w:ind w:left="5040" w:hanging="360"/>
      </w:pPr>
      <w:rPr>
        <w:rFonts w:hint="default" w:ascii="Symbol" w:hAnsi="Symbol"/>
      </w:rPr>
    </w:lvl>
    <w:lvl w:ilvl="7" w:tplc="04070003">
      <w:start w:val="1"/>
      <w:numFmt w:val="bullet"/>
      <w:lvlText w:val="o"/>
      <w:lvlJc w:val="left"/>
      <w:pPr>
        <w:ind w:left="5760" w:hanging="360"/>
      </w:pPr>
      <w:rPr>
        <w:rFonts w:hint="default" w:ascii="Courier New" w:hAnsi="Courier New" w:cs="Courier New"/>
      </w:rPr>
    </w:lvl>
    <w:lvl w:ilvl="8" w:tplc="04070005">
      <w:start w:val="1"/>
      <w:numFmt w:val="bullet"/>
      <w:lvlText w:val=""/>
      <w:lvlJc w:val="left"/>
      <w:pPr>
        <w:ind w:left="6480" w:hanging="360"/>
      </w:pPr>
      <w:rPr>
        <w:rFonts w:hint="default" w:ascii="Wingdings" w:hAnsi="Wingdings"/>
      </w:rPr>
    </w:lvl>
  </w:abstractNum>
  <w:abstractNum w:abstractNumId="6" w15:restartNumberingAfterBreak="0">
    <w:nsid w:val="293061BD"/>
    <w:multiLevelType w:val="multilevel"/>
    <w:tmpl w:val="98BE456E"/>
    <w:lvl w:ilvl="0">
      <w:start w:val="1"/>
      <w:numFmt w:val="bullet"/>
      <w:lvlText w:val=""/>
      <w:lvlJc w:val="left"/>
      <w:pPr>
        <w:tabs>
          <w:tab w:val="num" w:pos="720"/>
        </w:tabs>
        <w:ind w:left="720" w:hanging="360"/>
      </w:pPr>
      <w:rPr>
        <w:rFonts w:hint="default" w:ascii="Symbol" w:hAnsi="Symbol"/>
        <w:sz w:val="20"/>
      </w:rPr>
    </w:lvl>
    <w:lvl w:ilvl="1" w:tentative="1">
      <w:start w:val="1"/>
      <w:numFmt w:val="bullet"/>
      <w:lvlText w:val="o"/>
      <w:lvlJc w:val="left"/>
      <w:pPr>
        <w:tabs>
          <w:tab w:val="num" w:pos="1440"/>
        </w:tabs>
        <w:ind w:left="1440" w:hanging="360"/>
      </w:pPr>
      <w:rPr>
        <w:rFonts w:hint="default" w:ascii="Courier New" w:hAnsi="Courier New"/>
        <w:sz w:val="20"/>
      </w:rPr>
    </w:lvl>
    <w:lvl w:ilvl="2" w:tentative="1">
      <w:start w:val="1"/>
      <w:numFmt w:val="bullet"/>
      <w:lvlText w:val=""/>
      <w:lvlJc w:val="left"/>
      <w:pPr>
        <w:tabs>
          <w:tab w:val="num" w:pos="2160"/>
        </w:tabs>
        <w:ind w:left="2160" w:hanging="360"/>
      </w:pPr>
      <w:rPr>
        <w:rFonts w:hint="default" w:ascii="Wingdings" w:hAnsi="Wingdings"/>
        <w:sz w:val="20"/>
      </w:rPr>
    </w:lvl>
    <w:lvl w:ilvl="3" w:tentative="1">
      <w:start w:val="1"/>
      <w:numFmt w:val="bullet"/>
      <w:lvlText w:val=""/>
      <w:lvlJc w:val="left"/>
      <w:pPr>
        <w:tabs>
          <w:tab w:val="num" w:pos="2880"/>
        </w:tabs>
        <w:ind w:left="2880" w:hanging="360"/>
      </w:pPr>
      <w:rPr>
        <w:rFonts w:hint="default" w:ascii="Wingdings" w:hAnsi="Wingdings"/>
        <w:sz w:val="20"/>
      </w:rPr>
    </w:lvl>
    <w:lvl w:ilvl="4" w:tentative="1">
      <w:start w:val="1"/>
      <w:numFmt w:val="bullet"/>
      <w:lvlText w:val=""/>
      <w:lvlJc w:val="left"/>
      <w:pPr>
        <w:tabs>
          <w:tab w:val="num" w:pos="3600"/>
        </w:tabs>
        <w:ind w:left="3600" w:hanging="360"/>
      </w:pPr>
      <w:rPr>
        <w:rFonts w:hint="default" w:ascii="Wingdings" w:hAnsi="Wingdings"/>
        <w:sz w:val="20"/>
      </w:rPr>
    </w:lvl>
    <w:lvl w:ilvl="5" w:tentative="1">
      <w:start w:val="1"/>
      <w:numFmt w:val="bullet"/>
      <w:lvlText w:val=""/>
      <w:lvlJc w:val="left"/>
      <w:pPr>
        <w:tabs>
          <w:tab w:val="num" w:pos="4320"/>
        </w:tabs>
        <w:ind w:left="4320" w:hanging="360"/>
      </w:pPr>
      <w:rPr>
        <w:rFonts w:hint="default" w:ascii="Wingdings" w:hAnsi="Wingdings"/>
        <w:sz w:val="20"/>
      </w:rPr>
    </w:lvl>
    <w:lvl w:ilvl="6" w:tentative="1">
      <w:start w:val="1"/>
      <w:numFmt w:val="bullet"/>
      <w:lvlText w:val=""/>
      <w:lvlJc w:val="left"/>
      <w:pPr>
        <w:tabs>
          <w:tab w:val="num" w:pos="5040"/>
        </w:tabs>
        <w:ind w:left="5040" w:hanging="360"/>
      </w:pPr>
      <w:rPr>
        <w:rFonts w:hint="default" w:ascii="Wingdings" w:hAnsi="Wingdings"/>
        <w:sz w:val="20"/>
      </w:rPr>
    </w:lvl>
    <w:lvl w:ilvl="7" w:tentative="1">
      <w:start w:val="1"/>
      <w:numFmt w:val="bullet"/>
      <w:lvlText w:val=""/>
      <w:lvlJc w:val="left"/>
      <w:pPr>
        <w:tabs>
          <w:tab w:val="num" w:pos="5760"/>
        </w:tabs>
        <w:ind w:left="5760" w:hanging="360"/>
      </w:pPr>
      <w:rPr>
        <w:rFonts w:hint="default" w:ascii="Wingdings" w:hAnsi="Wingdings"/>
        <w:sz w:val="20"/>
      </w:rPr>
    </w:lvl>
    <w:lvl w:ilvl="8" w:tentative="1">
      <w:start w:val="1"/>
      <w:numFmt w:val="bullet"/>
      <w:lvlText w:val=""/>
      <w:lvlJc w:val="left"/>
      <w:pPr>
        <w:tabs>
          <w:tab w:val="num" w:pos="6480"/>
        </w:tabs>
        <w:ind w:left="6480" w:hanging="360"/>
      </w:pPr>
      <w:rPr>
        <w:rFonts w:hint="default" w:ascii="Wingdings" w:hAnsi="Wingdings"/>
        <w:sz w:val="20"/>
      </w:rPr>
    </w:lvl>
  </w:abstractNum>
  <w:abstractNum w:abstractNumId="7" w15:restartNumberingAfterBreak="0">
    <w:nsid w:val="31710734"/>
    <w:multiLevelType w:val="multilevel"/>
    <w:tmpl w:val="FA704FAE"/>
    <w:lvl w:ilvl="0">
      <w:start w:val="1"/>
      <w:numFmt w:val="bullet"/>
      <w:lvlText w:val=""/>
      <w:lvlJc w:val="left"/>
      <w:pPr>
        <w:tabs>
          <w:tab w:val="num" w:pos="720"/>
        </w:tabs>
        <w:ind w:left="720" w:hanging="360"/>
      </w:pPr>
      <w:rPr>
        <w:rFonts w:hint="default" w:ascii="Symbol" w:hAnsi="Symbol"/>
        <w:sz w:val="20"/>
      </w:rPr>
    </w:lvl>
    <w:lvl w:ilvl="1">
      <w:start w:val="1"/>
      <w:numFmt w:val="bullet"/>
      <w:lvlText w:val="o"/>
      <w:lvlJc w:val="left"/>
      <w:pPr>
        <w:tabs>
          <w:tab w:val="num" w:pos="1440"/>
        </w:tabs>
        <w:ind w:left="1440" w:hanging="360"/>
      </w:pPr>
      <w:rPr>
        <w:rFonts w:hint="default" w:ascii="Courier New" w:hAnsi="Courier New"/>
        <w:sz w:val="20"/>
      </w:rPr>
    </w:lvl>
    <w:lvl w:ilvl="2" w:tentative="1">
      <w:start w:val="1"/>
      <w:numFmt w:val="bullet"/>
      <w:lvlText w:val=""/>
      <w:lvlJc w:val="left"/>
      <w:pPr>
        <w:tabs>
          <w:tab w:val="num" w:pos="2160"/>
        </w:tabs>
        <w:ind w:left="2160" w:hanging="360"/>
      </w:pPr>
      <w:rPr>
        <w:rFonts w:hint="default" w:ascii="Wingdings" w:hAnsi="Wingdings"/>
        <w:sz w:val="20"/>
      </w:rPr>
    </w:lvl>
    <w:lvl w:ilvl="3" w:tentative="1">
      <w:start w:val="1"/>
      <w:numFmt w:val="bullet"/>
      <w:lvlText w:val=""/>
      <w:lvlJc w:val="left"/>
      <w:pPr>
        <w:tabs>
          <w:tab w:val="num" w:pos="2880"/>
        </w:tabs>
        <w:ind w:left="2880" w:hanging="360"/>
      </w:pPr>
      <w:rPr>
        <w:rFonts w:hint="default" w:ascii="Wingdings" w:hAnsi="Wingdings"/>
        <w:sz w:val="20"/>
      </w:rPr>
    </w:lvl>
    <w:lvl w:ilvl="4" w:tentative="1">
      <w:start w:val="1"/>
      <w:numFmt w:val="bullet"/>
      <w:lvlText w:val=""/>
      <w:lvlJc w:val="left"/>
      <w:pPr>
        <w:tabs>
          <w:tab w:val="num" w:pos="3600"/>
        </w:tabs>
        <w:ind w:left="3600" w:hanging="360"/>
      </w:pPr>
      <w:rPr>
        <w:rFonts w:hint="default" w:ascii="Wingdings" w:hAnsi="Wingdings"/>
        <w:sz w:val="20"/>
      </w:rPr>
    </w:lvl>
    <w:lvl w:ilvl="5" w:tentative="1">
      <w:start w:val="1"/>
      <w:numFmt w:val="bullet"/>
      <w:lvlText w:val=""/>
      <w:lvlJc w:val="left"/>
      <w:pPr>
        <w:tabs>
          <w:tab w:val="num" w:pos="4320"/>
        </w:tabs>
        <w:ind w:left="4320" w:hanging="360"/>
      </w:pPr>
      <w:rPr>
        <w:rFonts w:hint="default" w:ascii="Wingdings" w:hAnsi="Wingdings"/>
        <w:sz w:val="20"/>
      </w:rPr>
    </w:lvl>
    <w:lvl w:ilvl="6" w:tentative="1">
      <w:start w:val="1"/>
      <w:numFmt w:val="bullet"/>
      <w:lvlText w:val=""/>
      <w:lvlJc w:val="left"/>
      <w:pPr>
        <w:tabs>
          <w:tab w:val="num" w:pos="5040"/>
        </w:tabs>
        <w:ind w:left="5040" w:hanging="360"/>
      </w:pPr>
      <w:rPr>
        <w:rFonts w:hint="default" w:ascii="Wingdings" w:hAnsi="Wingdings"/>
        <w:sz w:val="20"/>
      </w:rPr>
    </w:lvl>
    <w:lvl w:ilvl="7" w:tentative="1">
      <w:start w:val="1"/>
      <w:numFmt w:val="bullet"/>
      <w:lvlText w:val=""/>
      <w:lvlJc w:val="left"/>
      <w:pPr>
        <w:tabs>
          <w:tab w:val="num" w:pos="5760"/>
        </w:tabs>
        <w:ind w:left="5760" w:hanging="360"/>
      </w:pPr>
      <w:rPr>
        <w:rFonts w:hint="default" w:ascii="Wingdings" w:hAnsi="Wingdings"/>
        <w:sz w:val="20"/>
      </w:rPr>
    </w:lvl>
    <w:lvl w:ilvl="8" w:tentative="1">
      <w:start w:val="1"/>
      <w:numFmt w:val="bullet"/>
      <w:lvlText w:val=""/>
      <w:lvlJc w:val="left"/>
      <w:pPr>
        <w:tabs>
          <w:tab w:val="num" w:pos="6480"/>
        </w:tabs>
        <w:ind w:left="6480" w:hanging="360"/>
      </w:pPr>
      <w:rPr>
        <w:rFonts w:hint="default" w:ascii="Wingdings" w:hAnsi="Wingdings"/>
        <w:sz w:val="20"/>
      </w:rPr>
    </w:lvl>
  </w:abstractNum>
  <w:abstractNum w:abstractNumId="8" w15:restartNumberingAfterBreak="0">
    <w:nsid w:val="32F05016"/>
    <w:multiLevelType w:val="hybridMultilevel"/>
    <w:tmpl w:val="3FBA49BA"/>
    <w:lvl w:ilvl="0" w:tplc="04070001">
      <w:start w:val="1"/>
      <w:numFmt w:val="bullet"/>
      <w:lvlText w:val=""/>
      <w:lvlJc w:val="left"/>
      <w:pPr>
        <w:ind w:left="720" w:hanging="360"/>
      </w:pPr>
      <w:rPr>
        <w:rFonts w:hint="default" w:ascii="Symbol" w:hAnsi="Symbol"/>
      </w:rPr>
    </w:lvl>
    <w:lvl w:ilvl="1" w:tplc="04070003" w:tentative="1">
      <w:start w:val="1"/>
      <w:numFmt w:val="bullet"/>
      <w:lvlText w:val="o"/>
      <w:lvlJc w:val="left"/>
      <w:pPr>
        <w:ind w:left="1440" w:hanging="360"/>
      </w:pPr>
      <w:rPr>
        <w:rFonts w:hint="default" w:ascii="Courier New" w:hAnsi="Courier New" w:cs="Courier New"/>
      </w:rPr>
    </w:lvl>
    <w:lvl w:ilvl="2" w:tplc="04070005" w:tentative="1">
      <w:start w:val="1"/>
      <w:numFmt w:val="bullet"/>
      <w:lvlText w:val=""/>
      <w:lvlJc w:val="left"/>
      <w:pPr>
        <w:ind w:left="2160" w:hanging="360"/>
      </w:pPr>
      <w:rPr>
        <w:rFonts w:hint="default" w:ascii="Wingdings" w:hAnsi="Wingdings"/>
      </w:rPr>
    </w:lvl>
    <w:lvl w:ilvl="3" w:tplc="04070001" w:tentative="1">
      <w:start w:val="1"/>
      <w:numFmt w:val="bullet"/>
      <w:lvlText w:val=""/>
      <w:lvlJc w:val="left"/>
      <w:pPr>
        <w:ind w:left="2880" w:hanging="360"/>
      </w:pPr>
      <w:rPr>
        <w:rFonts w:hint="default" w:ascii="Symbol" w:hAnsi="Symbol"/>
      </w:rPr>
    </w:lvl>
    <w:lvl w:ilvl="4" w:tplc="04070003" w:tentative="1">
      <w:start w:val="1"/>
      <w:numFmt w:val="bullet"/>
      <w:lvlText w:val="o"/>
      <w:lvlJc w:val="left"/>
      <w:pPr>
        <w:ind w:left="3600" w:hanging="360"/>
      </w:pPr>
      <w:rPr>
        <w:rFonts w:hint="default" w:ascii="Courier New" w:hAnsi="Courier New" w:cs="Courier New"/>
      </w:rPr>
    </w:lvl>
    <w:lvl w:ilvl="5" w:tplc="04070005" w:tentative="1">
      <w:start w:val="1"/>
      <w:numFmt w:val="bullet"/>
      <w:lvlText w:val=""/>
      <w:lvlJc w:val="left"/>
      <w:pPr>
        <w:ind w:left="4320" w:hanging="360"/>
      </w:pPr>
      <w:rPr>
        <w:rFonts w:hint="default" w:ascii="Wingdings" w:hAnsi="Wingdings"/>
      </w:rPr>
    </w:lvl>
    <w:lvl w:ilvl="6" w:tplc="04070001" w:tentative="1">
      <w:start w:val="1"/>
      <w:numFmt w:val="bullet"/>
      <w:lvlText w:val=""/>
      <w:lvlJc w:val="left"/>
      <w:pPr>
        <w:ind w:left="5040" w:hanging="360"/>
      </w:pPr>
      <w:rPr>
        <w:rFonts w:hint="default" w:ascii="Symbol" w:hAnsi="Symbol"/>
      </w:rPr>
    </w:lvl>
    <w:lvl w:ilvl="7" w:tplc="04070003" w:tentative="1">
      <w:start w:val="1"/>
      <w:numFmt w:val="bullet"/>
      <w:lvlText w:val="o"/>
      <w:lvlJc w:val="left"/>
      <w:pPr>
        <w:ind w:left="5760" w:hanging="360"/>
      </w:pPr>
      <w:rPr>
        <w:rFonts w:hint="default" w:ascii="Courier New" w:hAnsi="Courier New" w:cs="Courier New"/>
      </w:rPr>
    </w:lvl>
    <w:lvl w:ilvl="8" w:tplc="04070005" w:tentative="1">
      <w:start w:val="1"/>
      <w:numFmt w:val="bullet"/>
      <w:lvlText w:val=""/>
      <w:lvlJc w:val="left"/>
      <w:pPr>
        <w:ind w:left="6480" w:hanging="360"/>
      </w:pPr>
      <w:rPr>
        <w:rFonts w:hint="default" w:ascii="Wingdings" w:hAnsi="Wingdings"/>
      </w:rPr>
    </w:lvl>
  </w:abstractNum>
  <w:abstractNum w:abstractNumId="9" w15:restartNumberingAfterBreak="0">
    <w:nsid w:val="41563514"/>
    <w:multiLevelType w:val="hybridMultilevel"/>
    <w:tmpl w:val="1952CC54"/>
    <w:lvl w:ilvl="0" w:tplc="04070001">
      <w:start w:val="1"/>
      <w:numFmt w:val="bullet"/>
      <w:lvlText w:val=""/>
      <w:lvlJc w:val="left"/>
      <w:pPr>
        <w:ind w:left="720" w:hanging="360"/>
      </w:pPr>
      <w:rPr>
        <w:rFonts w:hint="default" w:ascii="Symbol" w:hAnsi="Symbol"/>
      </w:rPr>
    </w:lvl>
    <w:lvl w:ilvl="1" w:tplc="04070003">
      <w:start w:val="1"/>
      <w:numFmt w:val="bullet"/>
      <w:lvlText w:val="o"/>
      <w:lvlJc w:val="left"/>
      <w:pPr>
        <w:ind w:left="1440" w:hanging="360"/>
      </w:pPr>
      <w:rPr>
        <w:rFonts w:hint="default" w:ascii="Courier New" w:hAnsi="Courier New" w:cs="Courier New"/>
      </w:rPr>
    </w:lvl>
    <w:lvl w:ilvl="2" w:tplc="04070005" w:tentative="1">
      <w:start w:val="1"/>
      <w:numFmt w:val="bullet"/>
      <w:lvlText w:val=""/>
      <w:lvlJc w:val="left"/>
      <w:pPr>
        <w:ind w:left="2160" w:hanging="360"/>
      </w:pPr>
      <w:rPr>
        <w:rFonts w:hint="default" w:ascii="Wingdings" w:hAnsi="Wingdings"/>
      </w:rPr>
    </w:lvl>
    <w:lvl w:ilvl="3" w:tplc="04070001" w:tentative="1">
      <w:start w:val="1"/>
      <w:numFmt w:val="bullet"/>
      <w:lvlText w:val=""/>
      <w:lvlJc w:val="left"/>
      <w:pPr>
        <w:ind w:left="2880" w:hanging="360"/>
      </w:pPr>
      <w:rPr>
        <w:rFonts w:hint="default" w:ascii="Symbol" w:hAnsi="Symbol"/>
      </w:rPr>
    </w:lvl>
    <w:lvl w:ilvl="4" w:tplc="04070003" w:tentative="1">
      <w:start w:val="1"/>
      <w:numFmt w:val="bullet"/>
      <w:lvlText w:val="o"/>
      <w:lvlJc w:val="left"/>
      <w:pPr>
        <w:ind w:left="3600" w:hanging="360"/>
      </w:pPr>
      <w:rPr>
        <w:rFonts w:hint="default" w:ascii="Courier New" w:hAnsi="Courier New" w:cs="Courier New"/>
      </w:rPr>
    </w:lvl>
    <w:lvl w:ilvl="5" w:tplc="04070005" w:tentative="1">
      <w:start w:val="1"/>
      <w:numFmt w:val="bullet"/>
      <w:lvlText w:val=""/>
      <w:lvlJc w:val="left"/>
      <w:pPr>
        <w:ind w:left="4320" w:hanging="360"/>
      </w:pPr>
      <w:rPr>
        <w:rFonts w:hint="default" w:ascii="Wingdings" w:hAnsi="Wingdings"/>
      </w:rPr>
    </w:lvl>
    <w:lvl w:ilvl="6" w:tplc="04070001" w:tentative="1">
      <w:start w:val="1"/>
      <w:numFmt w:val="bullet"/>
      <w:lvlText w:val=""/>
      <w:lvlJc w:val="left"/>
      <w:pPr>
        <w:ind w:left="5040" w:hanging="360"/>
      </w:pPr>
      <w:rPr>
        <w:rFonts w:hint="default" w:ascii="Symbol" w:hAnsi="Symbol"/>
      </w:rPr>
    </w:lvl>
    <w:lvl w:ilvl="7" w:tplc="04070003" w:tentative="1">
      <w:start w:val="1"/>
      <w:numFmt w:val="bullet"/>
      <w:lvlText w:val="o"/>
      <w:lvlJc w:val="left"/>
      <w:pPr>
        <w:ind w:left="5760" w:hanging="360"/>
      </w:pPr>
      <w:rPr>
        <w:rFonts w:hint="default" w:ascii="Courier New" w:hAnsi="Courier New" w:cs="Courier New"/>
      </w:rPr>
    </w:lvl>
    <w:lvl w:ilvl="8" w:tplc="04070005" w:tentative="1">
      <w:start w:val="1"/>
      <w:numFmt w:val="bullet"/>
      <w:lvlText w:val=""/>
      <w:lvlJc w:val="left"/>
      <w:pPr>
        <w:ind w:left="6480" w:hanging="360"/>
      </w:pPr>
      <w:rPr>
        <w:rFonts w:hint="default" w:ascii="Wingdings" w:hAnsi="Wingdings"/>
      </w:rPr>
    </w:lvl>
  </w:abstractNum>
  <w:abstractNum w:abstractNumId="10" w15:restartNumberingAfterBreak="0">
    <w:nsid w:val="4CD66B2B"/>
    <w:multiLevelType w:val="multilevel"/>
    <w:tmpl w:val="370AF9B6"/>
    <w:lvl w:ilvl="0">
      <w:start w:val="8"/>
      <w:numFmt w:val="decimal"/>
      <w:lvlText w:val="%1."/>
      <w:lvlJc w:val="left"/>
      <w:pPr>
        <w:ind w:left="600" w:hanging="600"/>
      </w:pPr>
      <w:rPr>
        <w:rFonts w:hint="default"/>
      </w:rPr>
    </w:lvl>
    <w:lvl w:ilvl="1">
      <w:start w:val="5"/>
      <w:numFmt w:val="decimal"/>
      <w:lvlText w:val="%1.%2."/>
      <w:lvlJc w:val="left"/>
      <w:pPr>
        <w:ind w:left="1287" w:hanging="72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11" w15:restartNumberingAfterBreak="0">
    <w:nsid w:val="55557830"/>
    <w:multiLevelType w:val="hybridMultilevel"/>
    <w:tmpl w:val="27D8F614"/>
    <w:lvl w:ilvl="0" w:tplc="080A0003">
      <w:start w:val="1"/>
      <w:numFmt w:val="bullet"/>
      <w:lvlText w:val="o"/>
      <w:lvlJc w:val="left"/>
      <w:pPr>
        <w:ind w:left="720" w:hanging="360"/>
      </w:pPr>
      <w:rPr>
        <w:rFonts w:hint="default" w:ascii="Courier New" w:hAnsi="Courier New" w:cs="Courier New"/>
      </w:rPr>
    </w:lvl>
    <w:lvl w:ilvl="1" w:tplc="080A0003" w:tentative="1">
      <w:start w:val="1"/>
      <w:numFmt w:val="bullet"/>
      <w:lvlText w:val="o"/>
      <w:lvlJc w:val="left"/>
      <w:pPr>
        <w:ind w:left="1440" w:hanging="360"/>
      </w:pPr>
      <w:rPr>
        <w:rFonts w:hint="default" w:ascii="Courier New" w:hAnsi="Courier New" w:cs="Courier New"/>
      </w:rPr>
    </w:lvl>
    <w:lvl w:ilvl="2" w:tplc="080A0005" w:tentative="1">
      <w:start w:val="1"/>
      <w:numFmt w:val="bullet"/>
      <w:lvlText w:val=""/>
      <w:lvlJc w:val="left"/>
      <w:pPr>
        <w:ind w:left="2160" w:hanging="360"/>
      </w:pPr>
      <w:rPr>
        <w:rFonts w:hint="default" w:ascii="Wingdings" w:hAnsi="Wingdings"/>
      </w:rPr>
    </w:lvl>
    <w:lvl w:ilvl="3" w:tplc="080A0001" w:tentative="1">
      <w:start w:val="1"/>
      <w:numFmt w:val="bullet"/>
      <w:lvlText w:val=""/>
      <w:lvlJc w:val="left"/>
      <w:pPr>
        <w:ind w:left="2880" w:hanging="360"/>
      </w:pPr>
      <w:rPr>
        <w:rFonts w:hint="default" w:ascii="Symbol" w:hAnsi="Symbol"/>
      </w:rPr>
    </w:lvl>
    <w:lvl w:ilvl="4" w:tplc="080A0003" w:tentative="1">
      <w:start w:val="1"/>
      <w:numFmt w:val="bullet"/>
      <w:lvlText w:val="o"/>
      <w:lvlJc w:val="left"/>
      <w:pPr>
        <w:ind w:left="3600" w:hanging="360"/>
      </w:pPr>
      <w:rPr>
        <w:rFonts w:hint="default" w:ascii="Courier New" w:hAnsi="Courier New" w:cs="Courier New"/>
      </w:rPr>
    </w:lvl>
    <w:lvl w:ilvl="5" w:tplc="080A0005" w:tentative="1">
      <w:start w:val="1"/>
      <w:numFmt w:val="bullet"/>
      <w:lvlText w:val=""/>
      <w:lvlJc w:val="left"/>
      <w:pPr>
        <w:ind w:left="4320" w:hanging="360"/>
      </w:pPr>
      <w:rPr>
        <w:rFonts w:hint="default" w:ascii="Wingdings" w:hAnsi="Wingdings"/>
      </w:rPr>
    </w:lvl>
    <w:lvl w:ilvl="6" w:tplc="080A0001" w:tentative="1">
      <w:start w:val="1"/>
      <w:numFmt w:val="bullet"/>
      <w:lvlText w:val=""/>
      <w:lvlJc w:val="left"/>
      <w:pPr>
        <w:ind w:left="5040" w:hanging="360"/>
      </w:pPr>
      <w:rPr>
        <w:rFonts w:hint="default" w:ascii="Symbol" w:hAnsi="Symbol"/>
      </w:rPr>
    </w:lvl>
    <w:lvl w:ilvl="7" w:tplc="080A0003" w:tentative="1">
      <w:start w:val="1"/>
      <w:numFmt w:val="bullet"/>
      <w:lvlText w:val="o"/>
      <w:lvlJc w:val="left"/>
      <w:pPr>
        <w:ind w:left="5760" w:hanging="360"/>
      </w:pPr>
      <w:rPr>
        <w:rFonts w:hint="default" w:ascii="Courier New" w:hAnsi="Courier New" w:cs="Courier New"/>
      </w:rPr>
    </w:lvl>
    <w:lvl w:ilvl="8" w:tplc="080A0005" w:tentative="1">
      <w:start w:val="1"/>
      <w:numFmt w:val="bullet"/>
      <w:lvlText w:val=""/>
      <w:lvlJc w:val="left"/>
      <w:pPr>
        <w:ind w:left="6480" w:hanging="360"/>
      </w:pPr>
      <w:rPr>
        <w:rFonts w:hint="default" w:ascii="Wingdings" w:hAnsi="Wingdings"/>
      </w:rPr>
    </w:lvl>
  </w:abstractNum>
  <w:abstractNum w:abstractNumId="12" w15:restartNumberingAfterBreak="0">
    <w:nsid w:val="5B267E35"/>
    <w:multiLevelType w:val="multilevel"/>
    <w:tmpl w:val="2EA62128"/>
    <w:lvl w:ilvl="0">
      <w:start w:val="8"/>
      <w:numFmt w:val="decimal"/>
      <w:lvlText w:val="%1."/>
      <w:lvlJc w:val="left"/>
      <w:pPr>
        <w:ind w:left="600" w:hanging="600"/>
      </w:pPr>
      <w:rPr>
        <w:rFonts w:hint="default"/>
      </w:rPr>
    </w:lvl>
    <w:lvl w:ilvl="1">
      <w:start w:val="5"/>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3" w15:restartNumberingAfterBreak="0">
    <w:nsid w:val="6B305A6E"/>
    <w:multiLevelType w:val="hybridMultilevel"/>
    <w:tmpl w:val="D3BA375E"/>
    <w:lvl w:ilvl="0" w:tplc="080A0003">
      <w:start w:val="1"/>
      <w:numFmt w:val="bullet"/>
      <w:lvlText w:val="o"/>
      <w:lvlJc w:val="left"/>
      <w:pPr>
        <w:ind w:left="720" w:hanging="360"/>
      </w:pPr>
      <w:rPr>
        <w:rFonts w:hint="default" w:ascii="Courier New" w:hAnsi="Courier New" w:cs="Courier New"/>
      </w:rPr>
    </w:lvl>
    <w:lvl w:ilvl="1" w:tplc="080A0003" w:tentative="1">
      <w:start w:val="1"/>
      <w:numFmt w:val="bullet"/>
      <w:lvlText w:val="o"/>
      <w:lvlJc w:val="left"/>
      <w:pPr>
        <w:ind w:left="1440" w:hanging="360"/>
      </w:pPr>
      <w:rPr>
        <w:rFonts w:hint="default" w:ascii="Courier New" w:hAnsi="Courier New" w:cs="Courier New"/>
      </w:rPr>
    </w:lvl>
    <w:lvl w:ilvl="2" w:tplc="080A0005" w:tentative="1">
      <w:start w:val="1"/>
      <w:numFmt w:val="bullet"/>
      <w:lvlText w:val=""/>
      <w:lvlJc w:val="left"/>
      <w:pPr>
        <w:ind w:left="2160" w:hanging="360"/>
      </w:pPr>
      <w:rPr>
        <w:rFonts w:hint="default" w:ascii="Wingdings" w:hAnsi="Wingdings"/>
      </w:rPr>
    </w:lvl>
    <w:lvl w:ilvl="3" w:tplc="080A0001" w:tentative="1">
      <w:start w:val="1"/>
      <w:numFmt w:val="bullet"/>
      <w:lvlText w:val=""/>
      <w:lvlJc w:val="left"/>
      <w:pPr>
        <w:ind w:left="2880" w:hanging="360"/>
      </w:pPr>
      <w:rPr>
        <w:rFonts w:hint="default" w:ascii="Symbol" w:hAnsi="Symbol"/>
      </w:rPr>
    </w:lvl>
    <w:lvl w:ilvl="4" w:tplc="080A0003" w:tentative="1">
      <w:start w:val="1"/>
      <w:numFmt w:val="bullet"/>
      <w:lvlText w:val="o"/>
      <w:lvlJc w:val="left"/>
      <w:pPr>
        <w:ind w:left="3600" w:hanging="360"/>
      </w:pPr>
      <w:rPr>
        <w:rFonts w:hint="default" w:ascii="Courier New" w:hAnsi="Courier New" w:cs="Courier New"/>
      </w:rPr>
    </w:lvl>
    <w:lvl w:ilvl="5" w:tplc="080A0005" w:tentative="1">
      <w:start w:val="1"/>
      <w:numFmt w:val="bullet"/>
      <w:lvlText w:val=""/>
      <w:lvlJc w:val="left"/>
      <w:pPr>
        <w:ind w:left="4320" w:hanging="360"/>
      </w:pPr>
      <w:rPr>
        <w:rFonts w:hint="default" w:ascii="Wingdings" w:hAnsi="Wingdings"/>
      </w:rPr>
    </w:lvl>
    <w:lvl w:ilvl="6" w:tplc="080A0001" w:tentative="1">
      <w:start w:val="1"/>
      <w:numFmt w:val="bullet"/>
      <w:lvlText w:val=""/>
      <w:lvlJc w:val="left"/>
      <w:pPr>
        <w:ind w:left="5040" w:hanging="360"/>
      </w:pPr>
      <w:rPr>
        <w:rFonts w:hint="default" w:ascii="Symbol" w:hAnsi="Symbol"/>
      </w:rPr>
    </w:lvl>
    <w:lvl w:ilvl="7" w:tplc="080A0003" w:tentative="1">
      <w:start w:val="1"/>
      <w:numFmt w:val="bullet"/>
      <w:lvlText w:val="o"/>
      <w:lvlJc w:val="left"/>
      <w:pPr>
        <w:ind w:left="5760" w:hanging="360"/>
      </w:pPr>
      <w:rPr>
        <w:rFonts w:hint="default" w:ascii="Courier New" w:hAnsi="Courier New" w:cs="Courier New"/>
      </w:rPr>
    </w:lvl>
    <w:lvl w:ilvl="8" w:tplc="080A0005" w:tentative="1">
      <w:start w:val="1"/>
      <w:numFmt w:val="bullet"/>
      <w:lvlText w:val=""/>
      <w:lvlJc w:val="left"/>
      <w:pPr>
        <w:ind w:left="6480" w:hanging="360"/>
      </w:pPr>
      <w:rPr>
        <w:rFonts w:hint="default" w:ascii="Wingdings" w:hAnsi="Wingdings"/>
      </w:rPr>
    </w:lvl>
  </w:abstractNum>
  <w:abstractNum w:abstractNumId="14" w15:restartNumberingAfterBreak="0">
    <w:nsid w:val="6C4D11FD"/>
    <w:multiLevelType w:val="multilevel"/>
    <w:tmpl w:val="725CCB00"/>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276"/>
        </w:tabs>
        <w:ind w:left="1276" w:hanging="1276"/>
      </w:pPr>
      <w:rPr>
        <w:rFonts w:hint="default"/>
      </w:rPr>
    </w:lvl>
    <w:lvl w:ilvl="2">
      <w:start w:val="1"/>
      <w:numFmt w:val="decimal"/>
      <w:lvlText w:val="%1.%2.%3"/>
      <w:lvlJc w:val="left"/>
      <w:pPr>
        <w:tabs>
          <w:tab w:val="num" w:pos="1418"/>
        </w:tabs>
        <w:ind w:left="1418" w:hanging="1418"/>
      </w:pPr>
      <w:rPr>
        <w:rFonts w:hint="default"/>
      </w:rPr>
    </w:lvl>
    <w:lvl w:ilvl="3">
      <w:start w:val="1"/>
      <w:numFmt w:val="decimal"/>
      <w:lvlText w:val="%1.%2.%3.%4"/>
      <w:lvlJc w:val="left"/>
      <w:pPr>
        <w:tabs>
          <w:tab w:val="num" w:pos="1559"/>
        </w:tabs>
        <w:ind w:left="1559" w:hanging="1559"/>
      </w:pPr>
      <w:rPr>
        <w:rFonts w:hint="default"/>
      </w:rPr>
    </w:lvl>
    <w:lvl w:ilvl="4">
      <w:start w:val="1"/>
      <w:numFmt w:val="decimal"/>
      <w:lvlText w:val="%1.%2.%3.%4.%5"/>
      <w:lvlJc w:val="left"/>
      <w:pPr>
        <w:tabs>
          <w:tab w:val="num" w:pos="1701"/>
        </w:tabs>
        <w:ind w:left="1701" w:hanging="1701"/>
      </w:pPr>
      <w:rPr>
        <w:rFonts w:hint="default"/>
      </w:rPr>
    </w:lvl>
    <w:lvl w:ilvl="5">
      <w:start w:val="1"/>
      <w:numFmt w:val="decimal"/>
      <w:lvlText w:val="%1.%2.%3.%4.%5.%6"/>
      <w:lvlJc w:val="left"/>
      <w:pPr>
        <w:tabs>
          <w:tab w:val="num" w:pos="1843"/>
        </w:tabs>
        <w:ind w:left="1843" w:hanging="1843"/>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126"/>
        </w:tabs>
        <w:ind w:left="2126" w:hanging="2126"/>
      </w:pPr>
      <w:rPr>
        <w:rFonts w:hint="default"/>
      </w:rPr>
    </w:lvl>
    <w:lvl w:ilvl="8">
      <w:start w:val="1"/>
      <w:numFmt w:val="decimal"/>
      <w:lvlText w:val="%1.%2.%3.%4.%5.%6.%7.%8.%9"/>
      <w:lvlJc w:val="left"/>
      <w:pPr>
        <w:tabs>
          <w:tab w:val="num" w:pos="2268"/>
        </w:tabs>
        <w:ind w:left="2268" w:hanging="2268"/>
      </w:pPr>
      <w:rPr>
        <w:rFonts w:hint="default"/>
      </w:rPr>
    </w:lvl>
  </w:abstractNum>
  <w:abstractNum w:abstractNumId="15" w15:restartNumberingAfterBreak="0">
    <w:nsid w:val="6F66717B"/>
    <w:multiLevelType w:val="hybridMultilevel"/>
    <w:tmpl w:val="78F49E4A"/>
    <w:lvl w:ilvl="0" w:tplc="080A0001">
      <w:start w:val="1"/>
      <w:numFmt w:val="bullet"/>
      <w:lvlText w:val=""/>
      <w:lvlJc w:val="left"/>
      <w:pPr>
        <w:ind w:left="720" w:hanging="360"/>
      </w:pPr>
      <w:rPr>
        <w:rFonts w:hint="default" w:ascii="Symbol" w:hAnsi="Symbol"/>
      </w:rPr>
    </w:lvl>
    <w:lvl w:ilvl="1" w:tplc="080A0003" w:tentative="1">
      <w:start w:val="1"/>
      <w:numFmt w:val="bullet"/>
      <w:lvlText w:val="o"/>
      <w:lvlJc w:val="left"/>
      <w:pPr>
        <w:ind w:left="1440" w:hanging="360"/>
      </w:pPr>
      <w:rPr>
        <w:rFonts w:hint="default" w:ascii="Courier New" w:hAnsi="Courier New" w:cs="Courier New"/>
      </w:rPr>
    </w:lvl>
    <w:lvl w:ilvl="2" w:tplc="080A0005" w:tentative="1">
      <w:start w:val="1"/>
      <w:numFmt w:val="bullet"/>
      <w:lvlText w:val=""/>
      <w:lvlJc w:val="left"/>
      <w:pPr>
        <w:ind w:left="2160" w:hanging="360"/>
      </w:pPr>
      <w:rPr>
        <w:rFonts w:hint="default" w:ascii="Wingdings" w:hAnsi="Wingdings"/>
      </w:rPr>
    </w:lvl>
    <w:lvl w:ilvl="3" w:tplc="080A0001" w:tentative="1">
      <w:start w:val="1"/>
      <w:numFmt w:val="bullet"/>
      <w:lvlText w:val=""/>
      <w:lvlJc w:val="left"/>
      <w:pPr>
        <w:ind w:left="2880" w:hanging="360"/>
      </w:pPr>
      <w:rPr>
        <w:rFonts w:hint="default" w:ascii="Symbol" w:hAnsi="Symbol"/>
      </w:rPr>
    </w:lvl>
    <w:lvl w:ilvl="4" w:tplc="080A0003" w:tentative="1">
      <w:start w:val="1"/>
      <w:numFmt w:val="bullet"/>
      <w:lvlText w:val="o"/>
      <w:lvlJc w:val="left"/>
      <w:pPr>
        <w:ind w:left="3600" w:hanging="360"/>
      </w:pPr>
      <w:rPr>
        <w:rFonts w:hint="default" w:ascii="Courier New" w:hAnsi="Courier New" w:cs="Courier New"/>
      </w:rPr>
    </w:lvl>
    <w:lvl w:ilvl="5" w:tplc="080A0005" w:tentative="1">
      <w:start w:val="1"/>
      <w:numFmt w:val="bullet"/>
      <w:lvlText w:val=""/>
      <w:lvlJc w:val="left"/>
      <w:pPr>
        <w:ind w:left="4320" w:hanging="360"/>
      </w:pPr>
      <w:rPr>
        <w:rFonts w:hint="default" w:ascii="Wingdings" w:hAnsi="Wingdings"/>
      </w:rPr>
    </w:lvl>
    <w:lvl w:ilvl="6" w:tplc="080A0001" w:tentative="1">
      <w:start w:val="1"/>
      <w:numFmt w:val="bullet"/>
      <w:lvlText w:val=""/>
      <w:lvlJc w:val="left"/>
      <w:pPr>
        <w:ind w:left="5040" w:hanging="360"/>
      </w:pPr>
      <w:rPr>
        <w:rFonts w:hint="default" w:ascii="Symbol" w:hAnsi="Symbol"/>
      </w:rPr>
    </w:lvl>
    <w:lvl w:ilvl="7" w:tplc="080A0003" w:tentative="1">
      <w:start w:val="1"/>
      <w:numFmt w:val="bullet"/>
      <w:lvlText w:val="o"/>
      <w:lvlJc w:val="left"/>
      <w:pPr>
        <w:ind w:left="5760" w:hanging="360"/>
      </w:pPr>
      <w:rPr>
        <w:rFonts w:hint="default" w:ascii="Courier New" w:hAnsi="Courier New" w:cs="Courier New"/>
      </w:rPr>
    </w:lvl>
    <w:lvl w:ilvl="8" w:tplc="080A0005" w:tentative="1">
      <w:start w:val="1"/>
      <w:numFmt w:val="bullet"/>
      <w:lvlText w:val=""/>
      <w:lvlJc w:val="left"/>
      <w:pPr>
        <w:ind w:left="6480" w:hanging="360"/>
      </w:pPr>
      <w:rPr>
        <w:rFonts w:hint="default" w:ascii="Wingdings" w:hAnsi="Wingdings"/>
      </w:rPr>
    </w:lvl>
  </w:abstractNum>
  <w:abstractNum w:abstractNumId="16" w15:restartNumberingAfterBreak="0">
    <w:nsid w:val="75482738"/>
    <w:multiLevelType w:val="hybridMultilevel"/>
    <w:tmpl w:val="4D96E8A8"/>
    <w:lvl w:ilvl="0" w:tplc="10E0B18C">
      <w:start w:val="1"/>
      <w:numFmt w:val="bullet"/>
      <w:pStyle w:val="List-Bullet"/>
      <w:lvlText w:val="•"/>
      <w:lvlJc w:val="left"/>
      <w:pPr>
        <w:tabs>
          <w:tab w:val="num" w:pos="794"/>
        </w:tabs>
        <w:ind w:left="794" w:hanging="397"/>
      </w:pPr>
      <w:rPr>
        <w:rFonts w:hint="default" w:ascii="Times New Roman" w:hAnsi="Times New Roman" w:cs="Times New Roman"/>
        <w:color w:val="auto"/>
      </w:rPr>
    </w:lvl>
    <w:lvl w:ilvl="1" w:tplc="04070003" w:tentative="1">
      <w:start w:val="1"/>
      <w:numFmt w:val="bullet"/>
      <w:lvlText w:val="o"/>
      <w:lvlJc w:val="left"/>
      <w:pPr>
        <w:tabs>
          <w:tab w:val="num" w:pos="1440"/>
        </w:tabs>
        <w:ind w:left="1440" w:hanging="360"/>
      </w:pPr>
      <w:rPr>
        <w:rFonts w:hint="default" w:ascii="Courier New" w:hAnsi="Courier New"/>
      </w:rPr>
    </w:lvl>
    <w:lvl w:ilvl="2" w:tplc="04070005" w:tentative="1">
      <w:start w:val="1"/>
      <w:numFmt w:val="bullet"/>
      <w:lvlText w:val=""/>
      <w:lvlJc w:val="left"/>
      <w:pPr>
        <w:tabs>
          <w:tab w:val="num" w:pos="2160"/>
        </w:tabs>
        <w:ind w:left="2160" w:hanging="360"/>
      </w:pPr>
      <w:rPr>
        <w:rFonts w:hint="default" w:ascii="Wingdings" w:hAnsi="Wingdings"/>
      </w:rPr>
    </w:lvl>
    <w:lvl w:ilvl="3" w:tplc="04070001" w:tentative="1">
      <w:start w:val="1"/>
      <w:numFmt w:val="bullet"/>
      <w:lvlText w:val=""/>
      <w:lvlJc w:val="left"/>
      <w:pPr>
        <w:tabs>
          <w:tab w:val="num" w:pos="2880"/>
        </w:tabs>
        <w:ind w:left="2880" w:hanging="360"/>
      </w:pPr>
      <w:rPr>
        <w:rFonts w:hint="default" w:ascii="Symbol" w:hAnsi="Symbol"/>
      </w:rPr>
    </w:lvl>
    <w:lvl w:ilvl="4" w:tplc="04070003" w:tentative="1">
      <w:start w:val="1"/>
      <w:numFmt w:val="bullet"/>
      <w:lvlText w:val="o"/>
      <w:lvlJc w:val="left"/>
      <w:pPr>
        <w:tabs>
          <w:tab w:val="num" w:pos="3600"/>
        </w:tabs>
        <w:ind w:left="3600" w:hanging="360"/>
      </w:pPr>
      <w:rPr>
        <w:rFonts w:hint="default" w:ascii="Courier New" w:hAnsi="Courier New"/>
      </w:rPr>
    </w:lvl>
    <w:lvl w:ilvl="5" w:tplc="04070005" w:tentative="1">
      <w:start w:val="1"/>
      <w:numFmt w:val="bullet"/>
      <w:lvlText w:val=""/>
      <w:lvlJc w:val="left"/>
      <w:pPr>
        <w:tabs>
          <w:tab w:val="num" w:pos="4320"/>
        </w:tabs>
        <w:ind w:left="4320" w:hanging="360"/>
      </w:pPr>
      <w:rPr>
        <w:rFonts w:hint="default" w:ascii="Wingdings" w:hAnsi="Wingdings"/>
      </w:rPr>
    </w:lvl>
    <w:lvl w:ilvl="6" w:tplc="04070001" w:tentative="1">
      <w:start w:val="1"/>
      <w:numFmt w:val="bullet"/>
      <w:lvlText w:val=""/>
      <w:lvlJc w:val="left"/>
      <w:pPr>
        <w:tabs>
          <w:tab w:val="num" w:pos="5040"/>
        </w:tabs>
        <w:ind w:left="5040" w:hanging="360"/>
      </w:pPr>
      <w:rPr>
        <w:rFonts w:hint="default" w:ascii="Symbol" w:hAnsi="Symbol"/>
      </w:rPr>
    </w:lvl>
    <w:lvl w:ilvl="7" w:tplc="04070003" w:tentative="1">
      <w:start w:val="1"/>
      <w:numFmt w:val="bullet"/>
      <w:lvlText w:val="o"/>
      <w:lvlJc w:val="left"/>
      <w:pPr>
        <w:tabs>
          <w:tab w:val="num" w:pos="5760"/>
        </w:tabs>
        <w:ind w:left="5760" w:hanging="360"/>
      </w:pPr>
      <w:rPr>
        <w:rFonts w:hint="default" w:ascii="Courier New" w:hAnsi="Courier New"/>
      </w:rPr>
    </w:lvl>
    <w:lvl w:ilvl="8" w:tplc="04070005" w:tentative="1">
      <w:start w:val="1"/>
      <w:numFmt w:val="bullet"/>
      <w:lvlText w:val=""/>
      <w:lvlJc w:val="left"/>
      <w:pPr>
        <w:tabs>
          <w:tab w:val="num" w:pos="6480"/>
        </w:tabs>
        <w:ind w:left="6480" w:hanging="360"/>
      </w:pPr>
      <w:rPr>
        <w:rFonts w:hint="default" w:ascii="Wingdings" w:hAnsi="Wingdings"/>
      </w:rPr>
    </w:lvl>
  </w:abstractNum>
  <w:abstractNum w:abstractNumId="17" w15:restartNumberingAfterBreak="0">
    <w:nsid w:val="76D65380"/>
    <w:multiLevelType w:val="hybridMultilevel"/>
    <w:tmpl w:val="2F2AD9E0"/>
    <w:lvl w:ilvl="0" w:tplc="080A0001">
      <w:start w:val="1"/>
      <w:numFmt w:val="bullet"/>
      <w:lvlText w:val=""/>
      <w:lvlJc w:val="left"/>
      <w:pPr>
        <w:ind w:left="786" w:hanging="360"/>
      </w:pPr>
      <w:rPr>
        <w:rFonts w:hint="default" w:ascii="Symbol" w:hAnsi="Symbol"/>
      </w:rPr>
    </w:lvl>
    <w:lvl w:ilvl="1" w:tplc="080A0003" w:tentative="1">
      <w:start w:val="1"/>
      <w:numFmt w:val="bullet"/>
      <w:lvlText w:val="o"/>
      <w:lvlJc w:val="left"/>
      <w:pPr>
        <w:ind w:left="1506" w:hanging="360"/>
      </w:pPr>
      <w:rPr>
        <w:rFonts w:hint="default" w:ascii="Courier New" w:hAnsi="Courier New" w:cs="Courier New"/>
      </w:rPr>
    </w:lvl>
    <w:lvl w:ilvl="2" w:tplc="080A0005" w:tentative="1">
      <w:start w:val="1"/>
      <w:numFmt w:val="bullet"/>
      <w:lvlText w:val=""/>
      <w:lvlJc w:val="left"/>
      <w:pPr>
        <w:ind w:left="2226" w:hanging="360"/>
      </w:pPr>
      <w:rPr>
        <w:rFonts w:hint="default" w:ascii="Wingdings" w:hAnsi="Wingdings"/>
      </w:rPr>
    </w:lvl>
    <w:lvl w:ilvl="3" w:tplc="080A0001" w:tentative="1">
      <w:start w:val="1"/>
      <w:numFmt w:val="bullet"/>
      <w:lvlText w:val=""/>
      <w:lvlJc w:val="left"/>
      <w:pPr>
        <w:ind w:left="2946" w:hanging="360"/>
      </w:pPr>
      <w:rPr>
        <w:rFonts w:hint="default" w:ascii="Symbol" w:hAnsi="Symbol"/>
      </w:rPr>
    </w:lvl>
    <w:lvl w:ilvl="4" w:tplc="080A0003" w:tentative="1">
      <w:start w:val="1"/>
      <w:numFmt w:val="bullet"/>
      <w:lvlText w:val="o"/>
      <w:lvlJc w:val="left"/>
      <w:pPr>
        <w:ind w:left="3666" w:hanging="360"/>
      </w:pPr>
      <w:rPr>
        <w:rFonts w:hint="default" w:ascii="Courier New" w:hAnsi="Courier New" w:cs="Courier New"/>
      </w:rPr>
    </w:lvl>
    <w:lvl w:ilvl="5" w:tplc="080A0005" w:tentative="1">
      <w:start w:val="1"/>
      <w:numFmt w:val="bullet"/>
      <w:lvlText w:val=""/>
      <w:lvlJc w:val="left"/>
      <w:pPr>
        <w:ind w:left="4386" w:hanging="360"/>
      </w:pPr>
      <w:rPr>
        <w:rFonts w:hint="default" w:ascii="Wingdings" w:hAnsi="Wingdings"/>
      </w:rPr>
    </w:lvl>
    <w:lvl w:ilvl="6" w:tplc="080A0001" w:tentative="1">
      <w:start w:val="1"/>
      <w:numFmt w:val="bullet"/>
      <w:lvlText w:val=""/>
      <w:lvlJc w:val="left"/>
      <w:pPr>
        <w:ind w:left="5106" w:hanging="360"/>
      </w:pPr>
      <w:rPr>
        <w:rFonts w:hint="default" w:ascii="Symbol" w:hAnsi="Symbol"/>
      </w:rPr>
    </w:lvl>
    <w:lvl w:ilvl="7" w:tplc="080A0003" w:tentative="1">
      <w:start w:val="1"/>
      <w:numFmt w:val="bullet"/>
      <w:lvlText w:val="o"/>
      <w:lvlJc w:val="left"/>
      <w:pPr>
        <w:ind w:left="5826" w:hanging="360"/>
      </w:pPr>
      <w:rPr>
        <w:rFonts w:hint="default" w:ascii="Courier New" w:hAnsi="Courier New" w:cs="Courier New"/>
      </w:rPr>
    </w:lvl>
    <w:lvl w:ilvl="8" w:tplc="080A0005" w:tentative="1">
      <w:start w:val="1"/>
      <w:numFmt w:val="bullet"/>
      <w:lvlText w:val=""/>
      <w:lvlJc w:val="left"/>
      <w:pPr>
        <w:ind w:left="6546" w:hanging="360"/>
      </w:pPr>
      <w:rPr>
        <w:rFonts w:hint="default" w:ascii="Wingdings" w:hAnsi="Wingdings"/>
      </w:rPr>
    </w:lvl>
  </w:abstractNum>
  <w:abstractNum w:abstractNumId="18" w15:restartNumberingAfterBreak="0">
    <w:nsid w:val="7B2D3E45"/>
    <w:multiLevelType w:val="multilevel"/>
    <w:tmpl w:val="C04E280C"/>
    <w:lvl w:ilvl="0">
      <w:start w:val="1"/>
      <w:numFmt w:val="decimal"/>
      <w:pStyle w:val="Ttulo1"/>
      <w:lvlText w:val="%1"/>
      <w:lvlJc w:val="left"/>
      <w:pPr>
        <w:tabs>
          <w:tab w:val="num" w:pos="1134"/>
        </w:tabs>
        <w:ind w:left="1134" w:hanging="1134"/>
      </w:pPr>
    </w:lvl>
    <w:lvl w:ilvl="1">
      <w:start w:val="1"/>
      <w:numFmt w:val="decimal"/>
      <w:pStyle w:val="Ttulo2"/>
      <w:lvlText w:val="%1.%2"/>
      <w:lvlJc w:val="left"/>
      <w:pPr>
        <w:tabs>
          <w:tab w:val="num" w:pos="1134"/>
        </w:tabs>
        <w:ind w:left="1134" w:hanging="1134"/>
      </w:pPr>
    </w:lvl>
    <w:lvl w:ilvl="2">
      <w:start w:val="1"/>
      <w:numFmt w:val="decimal"/>
      <w:pStyle w:val="Ttulo3"/>
      <w:lvlText w:val="%1.%2.%3"/>
      <w:lvlJc w:val="left"/>
      <w:pPr>
        <w:tabs>
          <w:tab w:val="num" w:pos="1134"/>
        </w:tabs>
        <w:ind w:left="1134" w:hanging="1134"/>
      </w:pPr>
    </w:lvl>
    <w:lvl w:ilvl="3">
      <w:start w:val="1"/>
      <w:numFmt w:val="decimal"/>
      <w:pStyle w:val="Ttulo4"/>
      <w:lvlText w:val="%1.%2.%3.%4"/>
      <w:lvlJc w:val="left"/>
      <w:pPr>
        <w:tabs>
          <w:tab w:val="num" w:pos="1418"/>
        </w:tabs>
        <w:ind w:left="1418" w:hanging="1418"/>
      </w:pPr>
    </w:lvl>
    <w:lvl w:ilvl="4">
      <w:start w:val="1"/>
      <w:numFmt w:val="decimal"/>
      <w:pStyle w:val="Ttulo5"/>
      <w:lvlText w:val="%1.%2.%3.%4.%5"/>
      <w:lvlJc w:val="left"/>
      <w:pPr>
        <w:tabs>
          <w:tab w:val="num" w:pos="1701"/>
        </w:tabs>
        <w:ind w:left="1701" w:hanging="1701"/>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num w:numId="1" w16cid:durableId="1921524517">
    <w:abstractNumId w:val="18"/>
  </w:num>
  <w:num w:numId="2" w16cid:durableId="331417654">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54390481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6482420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30064843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137982952">
    <w:abstractNumId w:val="9"/>
  </w:num>
  <w:num w:numId="7" w16cid:durableId="615721185">
    <w:abstractNumId w:val="16"/>
  </w:num>
  <w:num w:numId="8" w16cid:durableId="1438675853">
    <w:abstractNumId w:val="16"/>
  </w:num>
  <w:num w:numId="9" w16cid:durableId="970549369">
    <w:abstractNumId w:val="8"/>
  </w:num>
  <w:num w:numId="10" w16cid:durableId="260529872">
    <w:abstractNumId w:val="14"/>
  </w:num>
  <w:num w:numId="11" w16cid:durableId="1843544458">
    <w:abstractNumId w:val="0"/>
  </w:num>
  <w:num w:numId="12" w16cid:durableId="916675064">
    <w:abstractNumId w:val="2"/>
  </w:num>
  <w:num w:numId="13" w16cid:durableId="1301421154">
    <w:abstractNumId w:val="5"/>
  </w:num>
  <w:num w:numId="14" w16cid:durableId="1854949465">
    <w:abstractNumId w:val="6"/>
  </w:num>
  <w:num w:numId="15" w16cid:durableId="664162110">
    <w:abstractNumId w:val="7"/>
  </w:num>
  <w:num w:numId="16" w16cid:durableId="832993100">
    <w:abstractNumId w:val="13"/>
  </w:num>
  <w:num w:numId="17" w16cid:durableId="1564829824">
    <w:abstractNumId w:val="4"/>
  </w:num>
  <w:num w:numId="18" w16cid:durableId="672997985">
    <w:abstractNumId w:val="1"/>
  </w:num>
  <w:num w:numId="19" w16cid:durableId="602885799">
    <w:abstractNumId w:val="10"/>
  </w:num>
  <w:num w:numId="20" w16cid:durableId="880702860">
    <w:abstractNumId w:val="11"/>
  </w:num>
  <w:num w:numId="21" w16cid:durableId="729380084">
    <w:abstractNumId w:val="17"/>
  </w:num>
  <w:num w:numId="22" w16cid:durableId="879778763">
    <w:abstractNumId w:val="12"/>
  </w:num>
  <w:num w:numId="23" w16cid:durableId="1000933820">
    <w:abstractNumId w:val="3"/>
  </w:num>
  <w:num w:numId="24" w16cid:durableId="22946076">
    <w:abstractNumId w:val="15"/>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Erick Mateos Molina">
    <w15:presenceInfo w15:providerId="AD" w15:userId="S::emateos@davaralaw.onmicrosoft.com::99b6618a-b9fd-4030-86d5-efc507a0e57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2"/>
  <w:proofState w:spelling="clean" w:grammar="dirty"/>
  <w:trackRevisions w:val="false"/>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208B"/>
    <w:rsid w:val="000001EF"/>
    <w:rsid w:val="000221C2"/>
    <w:rsid w:val="00027492"/>
    <w:rsid w:val="00044E1D"/>
    <w:rsid w:val="00054082"/>
    <w:rsid w:val="00054252"/>
    <w:rsid w:val="000647F8"/>
    <w:rsid w:val="000F6259"/>
    <w:rsid w:val="0013203E"/>
    <w:rsid w:val="00152BB9"/>
    <w:rsid w:val="001B2D60"/>
    <w:rsid w:val="001D482D"/>
    <w:rsid w:val="001E3DAE"/>
    <w:rsid w:val="002067B8"/>
    <w:rsid w:val="00207906"/>
    <w:rsid w:val="002278CC"/>
    <w:rsid w:val="00284BE5"/>
    <w:rsid w:val="002A069F"/>
    <w:rsid w:val="002F37F4"/>
    <w:rsid w:val="00324177"/>
    <w:rsid w:val="003268CB"/>
    <w:rsid w:val="003458BA"/>
    <w:rsid w:val="00390C71"/>
    <w:rsid w:val="00397D07"/>
    <w:rsid w:val="003A2BE2"/>
    <w:rsid w:val="003A63AA"/>
    <w:rsid w:val="003B092C"/>
    <w:rsid w:val="003B5B31"/>
    <w:rsid w:val="003C2837"/>
    <w:rsid w:val="003E0C9B"/>
    <w:rsid w:val="003F1D5F"/>
    <w:rsid w:val="00414093"/>
    <w:rsid w:val="00424DDF"/>
    <w:rsid w:val="004301F7"/>
    <w:rsid w:val="00443FE3"/>
    <w:rsid w:val="004459D2"/>
    <w:rsid w:val="00465D91"/>
    <w:rsid w:val="00480085"/>
    <w:rsid w:val="004C59DB"/>
    <w:rsid w:val="005103C1"/>
    <w:rsid w:val="00591A5B"/>
    <w:rsid w:val="00593C70"/>
    <w:rsid w:val="005C5958"/>
    <w:rsid w:val="005F2962"/>
    <w:rsid w:val="00600C4A"/>
    <w:rsid w:val="00636B8B"/>
    <w:rsid w:val="006633FE"/>
    <w:rsid w:val="0066388A"/>
    <w:rsid w:val="006A081F"/>
    <w:rsid w:val="006C5B01"/>
    <w:rsid w:val="006E472A"/>
    <w:rsid w:val="006F0B83"/>
    <w:rsid w:val="006F5CC1"/>
    <w:rsid w:val="00722510"/>
    <w:rsid w:val="007378F7"/>
    <w:rsid w:val="007569A0"/>
    <w:rsid w:val="008267D0"/>
    <w:rsid w:val="00833D74"/>
    <w:rsid w:val="00851743"/>
    <w:rsid w:val="00852B96"/>
    <w:rsid w:val="00864D36"/>
    <w:rsid w:val="008A6FE3"/>
    <w:rsid w:val="008F4233"/>
    <w:rsid w:val="00911B74"/>
    <w:rsid w:val="00921B6E"/>
    <w:rsid w:val="00930559"/>
    <w:rsid w:val="0093198F"/>
    <w:rsid w:val="009929C8"/>
    <w:rsid w:val="009F7C85"/>
    <w:rsid w:val="00A16F8A"/>
    <w:rsid w:val="00AA61B1"/>
    <w:rsid w:val="00AE59C0"/>
    <w:rsid w:val="00B6208B"/>
    <w:rsid w:val="00B638A1"/>
    <w:rsid w:val="00B6678E"/>
    <w:rsid w:val="00B949F7"/>
    <w:rsid w:val="00BC3E8B"/>
    <w:rsid w:val="00BF7BE2"/>
    <w:rsid w:val="00C2377B"/>
    <w:rsid w:val="00C72F52"/>
    <w:rsid w:val="00C825DA"/>
    <w:rsid w:val="00C93C28"/>
    <w:rsid w:val="00CA62A8"/>
    <w:rsid w:val="00CE342F"/>
    <w:rsid w:val="00D14992"/>
    <w:rsid w:val="00D35E77"/>
    <w:rsid w:val="00D56F14"/>
    <w:rsid w:val="00D718B6"/>
    <w:rsid w:val="00D766F5"/>
    <w:rsid w:val="00D83A17"/>
    <w:rsid w:val="00DC766F"/>
    <w:rsid w:val="00DF23B9"/>
    <w:rsid w:val="00E05CF1"/>
    <w:rsid w:val="00E519BA"/>
    <w:rsid w:val="00E6568D"/>
    <w:rsid w:val="00E802FE"/>
    <w:rsid w:val="00EA4986"/>
    <w:rsid w:val="00EC0543"/>
    <w:rsid w:val="00FD4475"/>
    <w:rsid w:val="00FD5DEA"/>
    <w:rsid w:val="2143547D"/>
    <w:rsid w:val="5198999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EABD0C4"/>
  <w15:chartTrackingRefBased/>
  <w15:docId w15:val="{007EB2EB-CD94-474F-9AE2-7254CE5E4B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hAnsiTheme="minorHAnsi" w:eastAsia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19" w:semiHidden="1" w:unhideWhenUsed="1" w:qFormat="1"/>
    <w:lsdException w:name="heading 6" w:uiPriority="19" w:semiHidden="1" w:unhideWhenUsed="1" w:qFormat="1"/>
    <w:lsdException w:name="heading 7" w:uiPriority="19" w:semiHidden="1" w:unhideWhenUsed="1" w:qFormat="1"/>
    <w:lsdException w:name="heading 8" w:uiPriority="19" w:semiHidden="1" w:unhideWhenUsed="1" w:qFormat="1"/>
    <w:lsdException w:name="heading 9" w:uiPriority="1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uiPriority="9"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D56F14"/>
    <w:pPr>
      <w:spacing w:after="200" w:line="276" w:lineRule="auto"/>
    </w:pPr>
  </w:style>
  <w:style w:type="paragraph" w:styleId="Ttulo1">
    <w:name w:val="heading 1"/>
    <w:basedOn w:val="Text"/>
    <w:next w:val="Normal"/>
    <w:link w:val="Ttulo1Car"/>
    <w:uiPriority w:val="9"/>
    <w:qFormat/>
    <w:rsid w:val="00054252"/>
    <w:pPr>
      <w:keepNext/>
      <w:numPr>
        <w:numId w:val="1"/>
      </w:numPr>
      <w:spacing w:before="360"/>
      <w:outlineLvl w:val="0"/>
    </w:pPr>
    <w:rPr>
      <w:rFonts w:cs="Arial"/>
      <w:b/>
      <w:bCs/>
      <w:szCs w:val="28"/>
    </w:rPr>
  </w:style>
  <w:style w:type="paragraph" w:styleId="Ttulo2">
    <w:name w:val="heading 2"/>
    <w:basedOn w:val="Normal"/>
    <w:next w:val="Normal"/>
    <w:link w:val="Ttulo2Car"/>
    <w:uiPriority w:val="9"/>
    <w:unhideWhenUsed/>
    <w:qFormat/>
    <w:rsid w:val="00054252"/>
    <w:pPr>
      <w:keepNext/>
      <w:numPr>
        <w:ilvl w:val="1"/>
        <w:numId w:val="1"/>
      </w:numPr>
      <w:spacing w:before="240" w:after="120" w:line="240" w:lineRule="auto"/>
      <w:outlineLvl w:val="1"/>
    </w:pPr>
    <w:rPr>
      <w:rFonts w:ascii="Arial" w:hAnsi="Arial" w:eastAsia="Times New Roman" w:cs="Arial"/>
      <w:b/>
      <w:bCs/>
      <w:iCs/>
      <w:sz w:val="24"/>
      <w:szCs w:val="28"/>
      <w:lang w:val="es-ES" w:eastAsia="de-DE"/>
    </w:rPr>
  </w:style>
  <w:style w:type="paragraph" w:styleId="Ttulo3">
    <w:name w:val="heading 3"/>
    <w:basedOn w:val="Normal"/>
    <w:next w:val="Normal"/>
    <w:link w:val="Ttulo3Car"/>
    <w:uiPriority w:val="9"/>
    <w:unhideWhenUsed/>
    <w:qFormat/>
    <w:rsid w:val="00D56F14"/>
    <w:pPr>
      <w:keepNext/>
      <w:numPr>
        <w:ilvl w:val="2"/>
        <w:numId w:val="1"/>
      </w:numPr>
      <w:spacing w:before="240" w:after="120" w:line="240" w:lineRule="auto"/>
      <w:outlineLvl w:val="2"/>
    </w:pPr>
    <w:rPr>
      <w:rFonts w:ascii="Arial" w:hAnsi="Arial" w:eastAsia="Times New Roman" w:cs="Arial"/>
      <w:bCs/>
      <w:sz w:val="24"/>
      <w:szCs w:val="26"/>
      <w:lang w:val="en-US" w:eastAsia="de-DE"/>
    </w:rPr>
  </w:style>
  <w:style w:type="paragraph" w:styleId="Ttulo4">
    <w:name w:val="heading 4"/>
    <w:basedOn w:val="Normal"/>
    <w:next w:val="Normal"/>
    <w:link w:val="Ttulo4Car"/>
    <w:uiPriority w:val="9"/>
    <w:unhideWhenUsed/>
    <w:qFormat/>
    <w:rsid w:val="00D56F14"/>
    <w:pPr>
      <w:keepNext/>
      <w:numPr>
        <w:ilvl w:val="3"/>
        <w:numId w:val="1"/>
      </w:numPr>
      <w:tabs>
        <w:tab w:val="left" w:pos="1276"/>
      </w:tabs>
      <w:spacing w:before="240" w:after="120" w:line="240" w:lineRule="auto"/>
      <w:outlineLvl w:val="3"/>
    </w:pPr>
    <w:rPr>
      <w:rFonts w:ascii="Arial" w:hAnsi="Arial" w:eastAsia="Times New Roman" w:cs="Times New Roman"/>
      <w:bCs/>
      <w:sz w:val="24"/>
      <w:szCs w:val="28"/>
      <w:lang w:val="en-US" w:eastAsia="de-DE"/>
    </w:rPr>
  </w:style>
  <w:style w:type="paragraph" w:styleId="Ttulo5">
    <w:name w:val="heading 5"/>
    <w:basedOn w:val="Normal"/>
    <w:next w:val="Normal"/>
    <w:link w:val="Ttulo5Car"/>
    <w:uiPriority w:val="19"/>
    <w:unhideWhenUsed/>
    <w:qFormat/>
    <w:rsid w:val="00D56F14"/>
    <w:pPr>
      <w:numPr>
        <w:ilvl w:val="4"/>
        <w:numId w:val="1"/>
      </w:numPr>
      <w:tabs>
        <w:tab w:val="left" w:pos="1418"/>
      </w:tabs>
      <w:spacing w:before="240" w:after="120" w:line="240" w:lineRule="auto"/>
      <w:outlineLvl w:val="4"/>
    </w:pPr>
    <w:rPr>
      <w:rFonts w:ascii="Arial" w:hAnsi="Arial" w:eastAsia="Times New Roman" w:cs="Times New Roman"/>
      <w:bCs/>
      <w:iCs/>
      <w:sz w:val="24"/>
      <w:szCs w:val="26"/>
      <w:lang w:val="en-US" w:eastAsia="de-DE"/>
    </w:rPr>
  </w:style>
  <w:style w:type="paragraph" w:styleId="Ttulo6">
    <w:name w:val="heading 6"/>
    <w:basedOn w:val="Normal"/>
    <w:next w:val="Normal"/>
    <w:link w:val="Ttulo6Car"/>
    <w:uiPriority w:val="19"/>
    <w:unhideWhenUsed/>
    <w:qFormat/>
    <w:rsid w:val="00D56F14"/>
    <w:pPr>
      <w:numPr>
        <w:ilvl w:val="5"/>
        <w:numId w:val="1"/>
      </w:numPr>
      <w:tabs>
        <w:tab w:val="clear" w:pos="1152"/>
        <w:tab w:val="left" w:pos="1559"/>
      </w:tabs>
      <w:spacing w:before="240" w:after="60" w:line="240" w:lineRule="auto"/>
      <w:outlineLvl w:val="5"/>
    </w:pPr>
    <w:rPr>
      <w:rFonts w:ascii="Arial" w:hAnsi="Arial" w:eastAsia="Times New Roman" w:cs="Times New Roman"/>
      <w:bCs/>
      <w:sz w:val="24"/>
      <w:lang w:val="en-US" w:eastAsia="de-DE"/>
    </w:rPr>
  </w:style>
  <w:style w:type="paragraph" w:styleId="Ttulo7">
    <w:name w:val="heading 7"/>
    <w:basedOn w:val="Normal"/>
    <w:next w:val="Normal"/>
    <w:link w:val="Ttulo7Car"/>
    <w:uiPriority w:val="19"/>
    <w:unhideWhenUsed/>
    <w:qFormat/>
    <w:rsid w:val="00D56F14"/>
    <w:pPr>
      <w:numPr>
        <w:ilvl w:val="6"/>
        <w:numId w:val="1"/>
      </w:numPr>
      <w:tabs>
        <w:tab w:val="left" w:pos="2126"/>
        <w:tab w:val="left" w:pos="3402"/>
        <w:tab w:val="left" w:pos="9639"/>
      </w:tabs>
      <w:spacing w:before="240" w:after="60" w:line="240" w:lineRule="auto"/>
      <w:outlineLvl w:val="6"/>
    </w:pPr>
    <w:rPr>
      <w:rFonts w:ascii="Arial" w:hAnsi="Arial" w:eastAsia="Times New Roman" w:cs="Times New Roman"/>
      <w:sz w:val="24"/>
      <w:szCs w:val="20"/>
      <w:lang w:val="en-US" w:eastAsia="de-DE"/>
    </w:rPr>
  </w:style>
  <w:style w:type="paragraph" w:styleId="Ttulo8">
    <w:name w:val="heading 8"/>
    <w:basedOn w:val="Normal"/>
    <w:next w:val="Normal"/>
    <w:link w:val="Ttulo8Car"/>
    <w:uiPriority w:val="19"/>
    <w:unhideWhenUsed/>
    <w:qFormat/>
    <w:rsid w:val="00D56F14"/>
    <w:pPr>
      <w:numPr>
        <w:ilvl w:val="7"/>
        <w:numId w:val="1"/>
      </w:numPr>
      <w:tabs>
        <w:tab w:val="left" w:pos="2410"/>
        <w:tab w:val="left" w:pos="3402"/>
        <w:tab w:val="left" w:pos="9639"/>
      </w:tabs>
      <w:spacing w:before="240" w:after="60" w:line="240" w:lineRule="auto"/>
      <w:outlineLvl w:val="7"/>
    </w:pPr>
    <w:rPr>
      <w:rFonts w:ascii="Arial" w:hAnsi="Arial" w:eastAsia="Times New Roman" w:cs="Times New Roman"/>
      <w:iCs/>
      <w:sz w:val="24"/>
      <w:szCs w:val="20"/>
      <w:lang w:val="en-US" w:eastAsia="de-DE"/>
    </w:rPr>
  </w:style>
  <w:style w:type="paragraph" w:styleId="Ttulo9">
    <w:name w:val="heading 9"/>
    <w:basedOn w:val="Normal"/>
    <w:next w:val="Normal"/>
    <w:link w:val="Ttulo9Car"/>
    <w:uiPriority w:val="19"/>
    <w:unhideWhenUsed/>
    <w:qFormat/>
    <w:rsid w:val="00D56F14"/>
    <w:pPr>
      <w:numPr>
        <w:ilvl w:val="8"/>
        <w:numId w:val="1"/>
      </w:numPr>
      <w:tabs>
        <w:tab w:val="left" w:pos="2693"/>
        <w:tab w:val="left" w:pos="3402"/>
        <w:tab w:val="left" w:pos="9639"/>
      </w:tabs>
      <w:spacing w:before="240" w:after="60" w:line="240" w:lineRule="auto"/>
      <w:outlineLvl w:val="8"/>
    </w:pPr>
    <w:rPr>
      <w:rFonts w:ascii="Arial" w:hAnsi="Arial" w:eastAsia="Times New Roman" w:cs="Arial"/>
      <w:sz w:val="24"/>
      <w:lang w:val="en-US" w:eastAsia="de-DE"/>
    </w:rPr>
  </w:style>
  <w:style w:type="character" w:styleId="Fuentedeprrafopredeter" w:default="1">
    <w:name w:val="Default Paragraph Font"/>
    <w:uiPriority w:val="1"/>
    <w:semiHidden/>
    <w:unhideWhenUsed/>
  </w:style>
  <w:style w:type="table" w:styleId="Tablanormal" w:default="1">
    <w:name w:val="Normal Table"/>
    <w:uiPriority w:val="99"/>
    <w:semiHidden/>
    <w:unhideWhenUsed/>
    <w:tblPr>
      <w:tblInd w:w="0" w:type="dxa"/>
      <w:tblCellMar>
        <w:top w:w="0" w:type="dxa"/>
        <w:left w:w="108" w:type="dxa"/>
        <w:bottom w:w="0" w:type="dxa"/>
        <w:right w:w="108" w:type="dxa"/>
      </w:tblCellMar>
    </w:tblPr>
  </w:style>
  <w:style w:type="numbering" w:styleId="Sinlista" w:default="1">
    <w:name w:val="No List"/>
    <w:uiPriority w:val="99"/>
    <w:semiHidden/>
    <w:unhideWhenUsed/>
  </w:style>
  <w:style w:type="character" w:styleId="Ttulo1Car" w:customStyle="1">
    <w:name w:val="Título 1 Car"/>
    <w:basedOn w:val="Fuentedeprrafopredeter"/>
    <w:link w:val="Ttulo1"/>
    <w:rsid w:val="00054252"/>
    <w:rPr>
      <w:rFonts w:ascii="Arial" w:hAnsi="Arial" w:eastAsia="Times New Roman" w:cs="Arial"/>
      <w:b/>
      <w:bCs/>
      <w:sz w:val="24"/>
      <w:szCs w:val="28"/>
      <w:lang w:val="es-ES" w:eastAsia="de-DE"/>
    </w:rPr>
  </w:style>
  <w:style w:type="character" w:styleId="Ttulo2Car" w:customStyle="1">
    <w:name w:val="Título 2 Car"/>
    <w:basedOn w:val="Fuentedeprrafopredeter"/>
    <w:link w:val="Ttulo2"/>
    <w:rsid w:val="00054252"/>
    <w:rPr>
      <w:rFonts w:ascii="Arial" w:hAnsi="Arial" w:eastAsia="Times New Roman" w:cs="Arial"/>
      <w:b/>
      <w:bCs/>
      <w:iCs/>
      <w:sz w:val="24"/>
      <w:szCs w:val="28"/>
      <w:lang w:val="es-ES" w:eastAsia="de-DE"/>
    </w:rPr>
  </w:style>
  <w:style w:type="character" w:styleId="Ttulo3Car" w:customStyle="1">
    <w:name w:val="Título 3 Car"/>
    <w:basedOn w:val="Fuentedeprrafopredeter"/>
    <w:link w:val="Ttulo3"/>
    <w:semiHidden/>
    <w:rsid w:val="00D56F14"/>
    <w:rPr>
      <w:rFonts w:ascii="Arial" w:hAnsi="Arial" w:eastAsia="Times New Roman" w:cs="Arial"/>
      <w:bCs/>
      <w:sz w:val="24"/>
      <w:szCs w:val="26"/>
      <w:lang w:val="en-US" w:eastAsia="de-DE"/>
    </w:rPr>
  </w:style>
  <w:style w:type="character" w:styleId="Ttulo4Car" w:customStyle="1">
    <w:name w:val="Título 4 Car"/>
    <w:basedOn w:val="Fuentedeprrafopredeter"/>
    <w:link w:val="Ttulo4"/>
    <w:semiHidden/>
    <w:rsid w:val="00D56F14"/>
    <w:rPr>
      <w:rFonts w:ascii="Arial" w:hAnsi="Arial" w:eastAsia="Times New Roman" w:cs="Times New Roman"/>
      <w:bCs/>
      <w:sz w:val="24"/>
      <w:szCs w:val="28"/>
      <w:lang w:val="en-US" w:eastAsia="de-DE"/>
    </w:rPr>
  </w:style>
  <w:style w:type="character" w:styleId="Ttulo5Car" w:customStyle="1">
    <w:name w:val="Título 5 Car"/>
    <w:basedOn w:val="Fuentedeprrafopredeter"/>
    <w:link w:val="Ttulo5"/>
    <w:semiHidden/>
    <w:rsid w:val="00D56F14"/>
    <w:rPr>
      <w:rFonts w:ascii="Arial" w:hAnsi="Arial" w:eastAsia="Times New Roman" w:cs="Times New Roman"/>
      <w:bCs/>
      <w:iCs/>
      <w:sz w:val="24"/>
      <w:szCs w:val="26"/>
      <w:lang w:val="en-US" w:eastAsia="de-DE"/>
    </w:rPr>
  </w:style>
  <w:style w:type="character" w:styleId="Ttulo6Car" w:customStyle="1">
    <w:name w:val="Título 6 Car"/>
    <w:basedOn w:val="Fuentedeprrafopredeter"/>
    <w:link w:val="Ttulo6"/>
    <w:semiHidden/>
    <w:rsid w:val="00D56F14"/>
    <w:rPr>
      <w:rFonts w:ascii="Arial" w:hAnsi="Arial" w:eastAsia="Times New Roman" w:cs="Times New Roman"/>
      <w:bCs/>
      <w:sz w:val="24"/>
      <w:lang w:val="en-US" w:eastAsia="de-DE"/>
    </w:rPr>
  </w:style>
  <w:style w:type="character" w:styleId="Ttulo7Car" w:customStyle="1">
    <w:name w:val="Título 7 Car"/>
    <w:basedOn w:val="Fuentedeprrafopredeter"/>
    <w:link w:val="Ttulo7"/>
    <w:semiHidden/>
    <w:rsid w:val="00D56F14"/>
    <w:rPr>
      <w:rFonts w:ascii="Arial" w:hAnsi="Arial" w:eastAsia="Times New Roman" w:cs="Times New Roman"/>
      <w:sz w:val="24"/>
      <w:szCs w:val="20"/>
      <w:lang w:val="en-US" w:eastAsia="de-DE"/>
    </w:rPr>
  </w:style>
  <w:style w:type="character" w:styleId="Ttulo8Car" w:customStyle="1">
    <w:name w:val="Título 8 Car"/>
    <w:basedOn w:val="Fuentedeprrafopredeter"/>
    <w:link w:val="Ttulo8"/>
    <w:semiHidden/>
    <w:rsid w:val="00D56F14"/>
    <w:rPr>
      <w:rFonts w:ascii="Arial" w:hAnsi="Arial" w:eastAsia="Times New Roman" w:cs="Times New Roman"/>
      <w:iCs/>
      <w:sz w:val="24"/>
      <w:szCs w:val="20"/>
      <w:lang w:val="en-US" w:eastAsia="de-DE"/>
    </w:rPr>
  </w:style>
  <w:style w:type="character" w:styleId="Ttulo9Car" w:customStyle="1">
    <w:name w:val="Título 9 Car"/>
    <w:basedOn w:val="Fuentedeprrafopredeter"/>
    <w:link w:val="Ttulo9"/>
    <w:semiHidden/>
    <w:rsid w:val="00D56F14"/>
    <w:rPr>
      <w:rFonts w:ascii="Arial" w:hAnsi="Arial" w:eastAsia="Times New Roman" w:cs="Arial"/>
      <w:sz w:val="24"/>
      <w:lang w:val="en-US" w:eastAsia="de-DE"/>
    </w:rPr>
  </w:style>
  <w:style w:type="character" w:styleId="TextChar" w:customStyle="1">
    <w:name w:val="Text Char"/>
    <w:link w:val="Text"/>
    <w:locked/>
    <w:rsid w:val="00054252"/>
    <w:rPr>
      <w:rFonts w:ascii="Arial" w:hAnsi="Arial" w:eastAsia="Times New Roman" w:cs="Times New Roman"/>
      <w:sz w:val="24"/>
      <w:szCs w:val="24"/>
      <w:lang w:val="es-ES" w:eastAsia="de-DE"/>
    </w:rPr>
  </w:style>
  <w:style w:type="paragraph" w:styleId="Text" w:customStyle="1">
    <w:name w:val="Text"/>
    <w:basedOn w:val="Normal"/>
    <w:link w:val="TextChar"/>
    <w:qFormat/>
    <w:rsid w:val="00054252"/>
    <w:pPr>
      <w:spacing w:after="120" w:line="240" w:lineRule="auto"/>
    </w:pPr>
    <w:rPr>
      <w:rFonts w:ascii="Arial" w:hAnsi="Arial" w:eastAsia="Times New Roman" w:cs="Times New Roman"/>
      <w:sz w:val="24"/>
      <w:szCs w:val="24"/>
      <w:lang w:val="es-ES" w:eastAsia="de-DE"/>
    </w:rPr>
  </w:style>
  <w:style w:type="character" w:styleId="GuidanceNotesChar" w:customStyle="1">
    <w:name w:val="Guidance Notes Char"/>
    <w:link w:val="GuidanceNotes"/>
    <w:locked/>
    <w:rsid w:val="00D56F14"/>
    <w:rPr>
      <w:rFonts w:ascii="Arial" w:hAnsi="Arial" w:eastAsia="Times New Roman" w:cs="Times New Roman"/>
      <w:i/>
      <w:color w:val="0000FF"/>
      <w:sz w:val="24"/>
      <w:szCs w:val="24"/>
      <w:lang w:val="en-US" w:eastAsia="de-DE"/>
    </w:rPr>
  </w:style>
  <w:style w:type="paragraph" w:styleId="GuidanceNotes" w:customStyle="1">
    <w:name w:val="Guidance Notes"/>
    <w:basedOn w:val="Text"/>
    <w:next w:val="Text"/>
    <w:link w:val="GuidanceNotesChar"/>
    <w:rsid w:val="00D56F14"/>
    <w:pPr>
      <w:spacing w:after="0"/>
    </w:pPr>
    <w:rPr>
      <w:i/>
      <w:color w:val="0000FF"/>
    </w:rPr>
  </w:style>
  <w:style w:type="paragraph" w:styleId="Encabezado">
    <w:name w:val="header"/>
    <w:basedOn w:val="Normal"/>
    <w:link w:val="EncabezadoCar"/>
    <w:uiPriority w:val="9"/>
    <w:unhideWhenUsed/>
    <w:rsid w:val="00054252"/>
    <w:pPr>
      <w:tabs>
        <w:tab w:val="center" w:pos="4536"/>
        <w:tab w:val="right" w:pos="9072"/>
      </w:tabs>
      <w:spacing w:before="60" w:after="60" w:line="240" w:lineRule="auto"/>
    </w:pPr>
  </w:style>
  <w:style w:type="character" w:styleId="EncabezadoCar" w:customStyle="1">
    <w:name w:val="Encabezado Car"/>
    <w:basedOn w:val="Fuentedeprrafopredeter"/>
    <w:link w:val="Encabezado"/>
    <w:uiPriority w:val="9"/>
    <w:rsid w:val="00054252"/>
  </w:style>
  <w:style w:type="paragraph" w:styleId="Piedepgina">
    <w:name w:val="footer"/>
    <w:basedOn w:val="Normal"/>
    <w:link w:val="PiedepginaCar"/>
    <w:uiPriority w:val="99"/>
    <w:unhideWhenUsed/>
    <w:rsid w:val="006C5B01"/>
    <w:pPr>
      <w:tabs>
        <w:tab w:val="center" w:pos="4536"/>
        <w:tab w:val="right" w:pos="9072"/>
      </w:tabs>
      <w:spacing w:after="0" w:line="240" w:lineRule="auto"/>
    </w:pPr>
  </w:style>
  <w:style w:type="character" w:styleId="PiedepginaCar" w:customStyle="1">
    <w:name w:val="Pie de página Car"/>
    <w:basedOn w:val="Fuentedeprrafopredeter"/>
    <w:link w:val="Piedepgina"/>
    <w:uiPriority w:val="99"/>
    <w:rsid w:val="006C5B01"/>
  </w:style>
  <w:style w:type="table" w:styleId="Tablaconcuadrcula">
    <w:name w:val="Table Grid"/>
    <w:basedOn w:val="Tablanormal"/>
    <w:uiPriority w:val="39"/>
    <w:rsid w:val="006C5B01"/>
    <w:pPr>
      <w:spacing w:after="0" w:line="240" w:lineRule="auto"/>
    </w:pPr>
    <w:rPr>
      <w:lang w:val="en-US"/>
    </w:rPr>
    <w:tblPr>
      <w:tblInd w:w="0" w:type="nil"/>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Prrafodelista">
    <w:name w:val="List Paragraph"/>
    <w:basedOn w:val="Normal"/>
    <w:uiPriority w:val="34"/>
    <w:qFormat/>
    <w:rsid w:val="003E0C9B"/>
    <w:pPr>
      <w:ind w:left="720"/>
      <w:contextualSpacing/>
    </w:pPr>
  </w:style>
  <w:style w:type="paragraph" w:styleId="Textodeglobo">
    <w:name w:val="Balloon Text"/>
    <w:basedOn w:val="Normal"/>
    <w:link w:val="TextodegloboCar"/>
    <w:uiPriority w:val="99"/>
    <w:semiHidden/>
    <w:unhideWhenUsed/>
    <w:rsid w:val="00636B8B"/>
    <w:pPr>
      <w:spacing w:after="0" w:line="240" w:lineRule="auto"/>
    </w:pPr>
    <w:rPr>
      <w:rFonts w:ascii="Segoe UI" w:hAnsi="Segoe UI" w:cs="Segoe UI"/>
      <w:sz w:val="18"/>
      <w:szCs w:val="18"/>
    </w:rPr>
  </w:style>
  <w:style w:type="character" w:styleId="TextodegloboCar" w:customStyle="1">
    <w:name w:val="Texto de globo Car"/>
    <w:basedOn w:val="Fuentedeprrafopredeter"/>
    <w:link w:val="Textodeglobo"/>
    <w:uiPriority w:val="99"/>
    <w:semiHidden/>
    <w:rsid w:val="00636B8B"/>
    <w:rPr>
      <w:rFonts w:ascii="Segoe UI" w:hAnsi="Segoe UI" w:cs="Segoe UI"/>
      <w:sz w:val="18"/>
      <w:szCs w:val="18"/>
    </w:rPr>
  </w:style>
  <w:style w:type="paragraph" w:styleId="Table-Text" w:customStyle="1">
    <w:name w:val="Table-Text"/>
    <w:basedOn w:val="Text"/>
    <w:uiPriority w:val="9"/>
    <w:qFormat/>
    <w:rsid w:val="00636B8B"/>
    <w:pPr>
      <w:keepLines/>
      <w:spacing w:before="40" w:after="40"/>
    </w:pPr>
    <w:rPr>
      <w:lang w:eastAsia="en-US"/>
    </w:rPr>
  </w:style>
  <w:style w:type="paragraph" w:styleId="Table-1row" w:customStyle="1">
    <w:name w:val="Table-1row"/>
    <w:basedOn w:val="Text"/>
    <w:uiPriority w:val="9"/>
    <w:qFormat/>
    <w:rsid w:val="00636B8B"/>
    <w:pPr>
      <w:keepNext/>
      <w:keepLines/>
      <w:spacing w:before="40" w:after="40"/>
      <w:jc w:val="center"/>
    </w:pPr>
    <w:rPr>
      <w:b/>
      <w:lang w:eastAsia="en-US"/>
    </w:rPr>
  </w:style>
  <w:style w:type="paragraph" w:styleId="List-Bullet" w:customStyle="1">
    <w:name w:val="List-Bullet"/>
    <w:basedOn w:val="Text"/>
    <w:uiPriority w:val="9"/>
    <w:qFormat/>
    <w:rsid w:val="00FD4475"/>
    <w:pPr>
      <w:keepLines/>
      <w:numPr>
        <w:numId w:val="7"/>
      </w:numPr>
      <w:spacing w:after="60"/>
    </w:pPr>
    <w:rPr>
      <w:lang w:eastAsia="en-US"/>
    </w:rPr>
  </w:style>
  <w:style w:type="paragraph" w:styleId="Tablelistbullet" w:customStyle="1">
    <w:name w:val="Table list bullet"/>
    <w:basedOn w:val="List-Bullet"/>
    <w:uiPriority w:val="9"/>
    <w:rsid w:val="00FD4475"/>
    <w:pPr>
      <w:tabs>
        <w:tab w:val="clear" w:pos="794"/>
      </w:tabs>
      <w:spacing w:before="40" w:after="40"/>
      <w:ind w:left="284" w:hanging="284"/>
    </w:pPr>
  </w:style>
  <w:style w:type="table" w:styleId="TableGrid1" w:customStyle="1">
    <w:name w:val="Table Grid1"/>
    <w:basedOn w:val="Tablanormal"/>
    <w:uiPriority w:val="39"/>
    <w:rsid w:val="00284BE5"/>
    <w:pPr>
      <w:spacing w:after="0" w:line="240" w:lineRule="auto"/>
    </w:pPr>
    <w:rPr>
      <w:rFonts w:cs="Calibri"/>
      <w:lang w:val="en-US"/>
    </w:rPr>
    <w:tblPr>
      <w:tblInd w:w="0" w:type="nil"/>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Hipervnculo">
    <w:name w:val="Hyperlink"/>
    <w:uiPriority w:val="99"/>
    <w:rsid w:val="00C825DA"/>
    <w:rPr>
      <w:color w:val="0000FF"/>
      <w:u w:val="none"/>
    </w:rPr>
  </w:style>
  <w:style w:type="paragraph" w:styleId="Revisin">
    <w:name w:val="Revision"/>
    <w:hidden/>
    <w:uiPriority w:val="99"/>
    <w:semiHidden/>
    <w:rsid w:val="003A2BE2"/>
    <w:pPr>
      <w:spacing w:after="0" w:line="240" w:lineRule="auto"/>
    </w:pPr>
  </w:style>
  <w:style w:type="character" w:styleId="Textoennegrita">
    <w:name w:val="Strong"/>
    <w:basedOn w:val="Fuentedeprrafopredeter"/>
    <w:uiPriority w:val="22"/>
    <w:qFormat/>
    <w:rsid w:val="00C72F52"/>
    <w:rPr>
      <w:b/>
      <w:bCs/>
    </w:rPr>
  </w:style>
  <w:style w:type="paragraph" w:styleId="NormalWeb">
    <w:name w:val="Normal (Web)"/>
    <w:basedOn w:val="Normal"/>
    <w:uiPriority w:val="99"/>
    <w:unhideWhenUsed/>
    <w:rsid w:val="006F0B83"/>
    <w:pPr>
      <w:spacing w:before="100" w:beforeAutospacing="1" w:after="100" w:afterAutospacing="1" w:line="240" w:lineRule="auto"/>
    </w:pPr>
    <w:rPr>
      <w:rFonts w:ascii="Times New Roman" w:hAnsi="Times New Roman" w:eastAsia="Times New Roman" w:cs="Times New Roman"/>
      <w:sz w:val="24"/>
      <w:szCs w:val="24"/>
      <w:lang w:val="es-MX" w:eastAsia="es-MX"/>
    </w:rPr>
  </w:style>
  <w:style w:type="character" w:styleId="nfasis">
    <w:name w:val="Emphasis"/>
    <w:basedOn w:val="Fuentedeprrafopredeter"/>
    <w:uiPriority w:val="20"/>
    <w:qFormat/>
    <w:rsid w:val="002278CC"/>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KEY" wne:name="Project.ThisDocument.KEY" wne:bEncrypt="00" wne:cmg="56"/>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65146944">
      <w:bodyDiv w:val="1"/>
      <w:marLeft w:val="0"/>
      <w:marRight w:val="0"/>
      <w:marTop w:val="0"/>
      <w:marBottom w:val="0"/>
      <w:divBdr>
        <w:top w:val="none" w:sz="0" w:space="0" w:color="auto"/>
        <w:left w:val="none" w:sz="0" w:space="0" w:color="auto"/>
        <w:bottom w:val="none" w:sz="0" w:space="0" w:color="auto"/>
        <w:right w:val="none" w:sz="0" w:space="0" w:color="auto"/>
      </w:divBdr>
    </w:div>
    <w:div w:id="592126512">
      <w:bodyDiv w:val="1"/>
      <w:marLeft w:val="0"/>
      <w:marRight w:val="0"/>
      <w:marTop w:val="0"/>
      <w:marBottom w:val="0"/>
      <w:divBdr>
        <w:top w:val="none" w:sz="0" w:space="0" w:color="auto"/>
        <w:left w:val="none" w:sz="0" w:space="0" w:color="auto"/>
        <w:bottom w:val="none" w:sz="0" w:space="0" w:color="auto"/>
        <w:right w:val="none" w:sz="0" w:space="0" w:color="auto"/>
      </w:divBdr>
    </w:div>
    <w:div w:id="824051278">
      <w:bodyDiv w:val="1"/>
      <w:marLeft w:val="0"/>
      <w:marRight w:val="0"/>
      <w:marTop w:val="0"/>
      <w:marBottom w:val="0"/>
      <w:divBdr>
        <w:top w:val="none" w:sz="0" w:space="0" w:color="auto"/>
        <w:left w:val="none" w:sz="0" w:space="0" w:color="auto"/>
        <w:bottom w:val="none" w:sz="0" w:space="0" w:color="auto"/>
        <w:right w:val="none" w:sz="0" w:space="0" w:color="auto"/>
      </w:divBdr>
    </w:div>
    <w:div w:id="1093167198">
      <w:bodyDiv w:val="1"/>
      <w:marLeft w:val="0"/>
      <w:marRight w:val="0"/>
      <w:marTop w:val="0"/>
      <w:marBottom w:val="0"/>
      <w:divBdr>
        <w:top w:val="none" w:sz="0" w:space="0" w:color="auto"/>
        <w:left w:val="none" w:sz="0" w:space="0" w:color="auto"/>
        <w:bottom w:val="none" w:sz="0" w:space="0" w:color="auto"/>
        <w:right w:val="none" w:sz="0" w:space="0" w:color="auto"/>
      </w:divBdr>
    </w:div>
    <w:div w:id="1255481022">
      <w:bodyDiv w:val="1"/>
      <w:marLeft w:val="0"/>
      <w:marRight w:val="0"/>
      <w:marTop w:val="0"/>
      <w:marBottom w:val="0"/>
      <w:divBdr>
        <w:top w:val="none" w:sz="0" w:space="0" w:color="auto"/>
        <w:left w:val="none" w:sz="0" w:space="0" w:color="auto"/>
        <w:bottom w:val="none" w:sz="0" w:space="0" w:color="auto"/>
        <w:right w:val="none" w:sz="0" w:space="0" w:color="auto"/>
      </w:divBdr>
    </w:div>
    <w:div w:id="1635407582">
      <w:bodyDiv w:val="1"/>
      <w:marLeft w:val="0"/>
      <w:marRight w:val="0"/>
      <w:marTop w:val="0"/>
      <w:marBottom w:val="0"/>
      <w:divBdr>
        <w:top w:val="none" w:sz="0" w:space="0" w:color="auto"/>
        <w:left w:val="none" w:sz="0" w:space="0" w:color="auto"/>
        <w:bottom w:val="none" w:sz="0" w:space="0" w:color="auto"/>
        <w:right w:val="none" w:sz="0" w:space="0" w:color="auto"/>
      </w:divBdr>
    </w:div>
    <w:div w:id="21328976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microsoft.com/office/2011/relationships/people" Target="people.xml" Id="rId13" /><Relationship Type="http://schemas.openxmlformats.org/officeDocument/2006/relationships/numbering" Target="numbering.xml" Id="rId3" /><Relationship Type="http://schemas.openxmlformats.org/officeDocument/2006/relationships/footnotes" Target="footnotes.xml" Id="rId7" /><Relationship Type="http://schemas.openxmlformats.org/officeDocument/2006/relationships/fontTable" Target="fontTable.xml" Id="rId12" /><Relationship Type="http://schemas.openxmlformats.org/officeDocument/2006/relationships/customXml" Target="../customXml/item1.xml" Id="rId2" /><Relationship Type="http://schemas.microsoft.com/office/2006/relationships/vbaProject" Target="vbaProject.bin" Id="rId1" /><Relationship Type="http://schemas.openxmlformats.org/officeDocument/2006/relationships/webSettings" Target="webSettings.xml" Id="rId6" /><Relationship Type="http://schemas.openxmlformats.org/officeDocument/2006/relationships/header" Target="header2.xml" Id="rId11" /><Relationship Type="http://schemas.openxmlformats.org/officeDocument/2006/relationships/settings" Target="settings.xml" Id="rId5" /><Relationship Type="http://schemas.openxmlformats.org/officeDocument/2006/relationships/header" Target="header1.xml" Id="rId10" /><Relationship Type="http://schemas.openxmlformats.org/officeDocument/2006/relationships/styles" Target="styles.xml" Id="rId4" /><Relationship Type="http://schemas.openxmlformats.org/officeDocument/2006/relationships/hyperlink" Target="http://2bsecure.grtgroup.com/" TargetMode="External" Id="rId9" /><Relationship Type="http://schemas.openxmlformats.org/officeDocument/2006/relationships/theme" Target="theme/theme1.xml" Id="rId14"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xmlns:thm15="http://schemas.microsoft.com/office/thememl/2012/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B203F55-359D-AB46-B623-1C40D33364D9}">
  <ds:schemaRefs>
    <ds:schemaRef ds:uri="http://schemas.openxmlformats.org/officeDocument/2006/bibliography"/>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Normal.dotm</ap:Template>
  <ap:Application>Microsoft Word for the web</ap:Application>
  <ap:DocSecurity>0</ap:DocSecurity>
  <ap:ScaleCrop>false</ap:ScaleCrop>
  <ap:Company>Grünenthal GmbH</ap:Company>
  <ap:SharedDoc>false</ap:SharedDoc>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title>Procedure Template Spanish</dc:title>
  <dc:subject/>
  <dc:creator>MasterControl DocAdmin</dc:creator>
  <keywords/>
  <dc:description/>
  <lastModifiedBy>Erik Mateos</lastModifiedBy>
  <revision>6</revision>
  <dcterms:created xsi:type="dcterms:W3CDTF">2025-11-12T18:42:00.0000000Z</dcterms:created>
  <dcterms:modified xsi:type="dcterms:W3CDTF">2026-04-22T18:03:22.2585026Z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1f22b0d6-cb08-48e4-b81e-c118f64f4880_Enabled">
    <vt:lpwstr>True</vt:lpwstr>
  </property>
  <property fmtid="{D5CDD505-2E9C-101B-9397-08002B2CF9AE}" pid="3" name="MSIP_Label_1f22b0d6-cb08-48e4-b81e-c118f64f4880_SiteId">
    <vt:lpwstr>1aa3f197-39d5-4269-bcea-93372aa086d9</vt:lpwstr>
  </property>
  <property fmtid="{D5CDD505-2E9C-101B-9397-08002B2CF9AE}" pid="4" name="MSIP_Label_1f22b0d6-cb08-48e4-b81e-c118f64f4880_Owner">
    <vt:lpwstr>Marco.Zinken@grunenthal.com</vt:lpwstr>
  </property>
  <property fmtid="{D5CDD505-2E9C-101B-9397-08002B2CF9AE}" pid="5" name="MSIP_Label_1f22b0d6-cb08-48e4-b81e-c118f64f4880_SetDate">
    <vt:lpwstr>2019-12-09T08:44:42.1575226Z</vt:lpwstr>
  </property>
  <property fmtid="{D5CDD505-2E9C-101B-9397-08002B2CF9AE}" pid="6" name="MSIP_Label_1f22b0d6-cb08-48e4-b81e-c118f64f4880_Name">
    <vt:lpwstr>Business Use</vt:lpwstr>
  </property>
  <property fmtid="{D5CDD505-2E9C-101B-9397-08002B2CF9AE}" pid="7" name="MSIP_Label_1f22b0d6-cb08-48e4-b81e-c118f64f4880_Application">
    <vt:lpwstr>Microsoft Azure Information Protection</vt:lpwstr>
  </property>
  <property fmtid="{D5CDD505-2E9C-101B-9397-08002B2CF9AE}" pid="8" name="MSIP_Label_1f22b0d6-cb08-48e4-b81e-c118f64f4880_ActionId">
    <vt:lpwstr>09eb8115-767d-4aad-a4c4-764521a2a1fa</vt:lpwstr>
  </property>
  <property fmtid="{D5CDD505-2E9C-101B-9397-08002B2CF9AE}" pid="9" name="MSIP_Label_1f22b0d6-cb08-48e4-b81e-c118f64f4880_Extended_MSFT_Method">
    <vt:lpwstr>Automatic</vt:lpwstr>
  </property>
  <property fmtid="{D5CDD505-2E9C-101B-9397-08002B2CF9AE}" pid="10" name="Sensitivity">
    <vt:lpwstr>Business Use</vt:lpwstr>
  </property>
  <property fmtid="{D5CDD505-2E9C-101B-9397-08002B2CF9AE}" pid="11" name="MC_NextReviewDate">
    <vt:lpwstr/>
  </property>
  <property fmtid="{D5CDD505-2E9C-101B-9397-08002B2CF9AE}" pid="12" name="MC_Number">
    <vt:lpwstr>PROC-006916</vt:lpwstr>
  </property>
  <property fmtid="{D5CDD505-2E9C-101B-9397-08002B2CF9AE}" pid="13" name="MC_Owner">
    <vt:lpwstr>DE87778</vt:lpwstr>
  </property>
  <property fmtid="{D5CDD505-2E9C-101B-9397-08002B2CF9AE}" pid="14" name="MC_CF_Regulatory Area">
    <vt:lpwstr>_None</vt:lpwstr>
  </property>
  <property fmtid="{D5CDD505-2E9C-101B-9397-08002B2CF9AE}" pid="15" name="MC_CF_Language">
    <vt:lpwstr>Spanish</vt:lpwstr>
  </property>
  <property fmtid="{D5CDD505-2E9C-101B-9397-08002B2CF9AE}" pid="16" name="MC_Title">
    <vt:lpwstr>Tratamiento de datos personales</vt:lpwstr>
  </property>
  <property fmtid="{D5CDD505-2E9C-101B-9397-08002B2CF9AE}" pid="17" name="MC_EffectiveDate">
    <vt:lpwstr>04 Oct 2021</vt:lpwstr>
  </property>
  <property fmtid="{D5CDD505-2E9C-101B-9397-08002B2CF9AE}" pid="18" name="MC_ReleaseDate">
    <vt:lpwstr>04 Oct 2021</vt:lpwstr>
  </property>
  <property fmtid="{D5CDD505-2E9C-101B-9397-08002B2CF9AE}" pid="19" name="MC_Vault">
    <vt:lpwstr>Procedure-rel</vt:lpwstr>
  </property>
  <property fmtid="{D5CDD505-2E9C-101B-9397-08002B2CF9AE}" pid="20" name="MC_Notes">
    <vt:lpwstr/>
  </property>
  <property fmtid="{D5CDD505-2E9C-101B-9397-08002B2CF9AE}" pid="21" name="MC_CF_Procedure Type">
    <vt:lpwstr>SOP</vt:lpwstr>
  </property>
  <property fmtid="{D5CDD505-2E9C-101B-9397-08002B2CF9AE}" pid="22" name="MC_Revision">
    <vt:lpwstr>01</vt:lpwstr>
  </property>
  <property fmtid="{D5CDD505-2E9C-101B-9397-08002B2CF9AE}" pid="23" name="MC_Author">
    <vt:lpwstr>MX00543</vt:lpwstr>
  </property>
  <property fmtid="{D5CDD505-2E9C-101B-9397-08002B2CF9AE}" pid="24" name="MC_CF_English title">
    <vt:lpwstr>Processing of personal data</vt:lpwstr>
  </property>
  <property fmtid="{D5CDD505-2E9C-101B-9397-08002B2CF9AE}" pid="25" name="MC_CF_Process">
    <vt:lpwstr>Compliance</vt:lpwstr>
  </property>
  <property fmtid="{D5CDD505-2E9C-101B-9397-08002B2CF9AE}" pid="26" name="MC_CreatedDate">
    <vt:lpwstr>04 Oct 2021</vt:lpwstr>
  </property>
  <property fmtid="{D5CDD505-2E9C-101B-9397-08002B2CF9AE}" pid="27" name="MC_CF_Country">
    <vt:lpwstr>Ecuador, Mexico, Chile, Costa Rica, Spain, Colombia</vt:lpwstr>
  </property>
  <property fmtid="{D5CDD505-2E9C-101B-9397-08002B2CF9AE}" pid="28" name="MC_CF_Country Scope">
    <vt:lpwstr>Local</vt:lpwstr>
  </property>
  <property fmtid="{D5CDD505-2E9C-101B-9397-08002B2CF9AE}" pid="29" name="MC_ExpirationDate">
    <vt:lpwstr/>
  </property>
  <property fmtid="{D5CDD505-2E9C-101B-9397-08002B2CF9AE}" pid="30" name="MC_Status">
    <vt:lpwstr>Release</vt:lpwstr>
  </property>
  <property fmtid="{D5CDD505-2E9C-101B-9397-08002B2CF9AE}" pid="31" name="MC_CF_GRT Location">
    <vt:lpwstr>ESP - Commercial, COL - Commercial, MEX - Commercial, PAN - Commercial</vt:lpwstr>
  </property>
</Properties>
</file>