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278" w:rsidRDefault="006756FE" w14:paraId="11731414" w14:textId="77777777">
      <w:pPr>
        <w:spacing w:before="82"/>
        <w:ind w:left="160"/>
        <w:jc w:val="both"/>
        <w:rPr>
          <w:sz w:val="20"/>
        </w:rPr>
      </w:pPr>
      <w:r>
        <w:rPr>
          <w:sz w:val="18"/>
        </w:rPr>
        <w:t xml:space="preserve">Título local: Procedimiento operativo estándar sobre la retención de </w:t>
      </w:r>
      <w:r>
        <w:rPr>
          <w:spacing w:val="-4"/>
          <w:sz w:val="18"/>
        </w:rPr>
        <w:t xml:space="preserve">datos </w:t>
      </w:r>
      <w:r>
        <w:rPr>
          <w:sz w:val="18"/>
        </w:rPr>
        <w:t>personales</w:t>
      </w:r>
    </w:p>
    <w:p w:rsidR="00E52278" w:rsidRDefault="00E52278" w14:paraId="06D60DC0" w14:textId="77777777">
      <w:pPr>
        <w:pStyle w:val="Textoindependiente"/>
        <w:spacing w:before="0"/>
        <w:rPr>
          <w:sz w:val="20"/>
        </w:rPr>
      </w:pPr>
    </w:p>
    <w:p w:rsidR="00E52278" w:rsidRDefault="00E52278" w14:paraId="5CDA20FE" w14:textId="77777777">
      <w:pPr>
        <w:pStyle w:val="Textoindependiente"/>
        <w:spacing w:before="0"/>
        <w:rPr>
          <w:sz w:val="20"/>
        </w:rPr>
      </w:pPr>
    </w:p>
    <w:p w:rsidR="00E52278" w:rsidRDefault="00E52278" w14:paraId="37308A7D" w14:textId="77777777">
      <w:pPr>
        <w:pStyle w:val="Textoindependiente"/>
        <w:spacing w:before="80"/>
        <w:rPr>
          <w:sz w:val="20"/>
        </w:rPr>
      </w:pPr>
    </w:p>
    <w:p w:rsidR="00E52278" w:rsidRDefault="006756FE" w14:paraId="5C3DAB8F" w14:textId="77777777">
      <w:pPr>
        <w:pStyle w:val="Ttulo1"/>
        <w:numPr>
          <w:ilvl w:val="0"/>
          <w:numId w:val="7"/>
        </w:numPr>
        <w:tabs>
          <w:tab w:val="left" w:pos="1276"/>
        </w:tabs>
      </w:pPr>
      <w:bookmarkStart w:name="1_Objective" w:id="0"/>
      <w:bookmarkEnd w:id="0"/>
      <w:r>
        <w:rPr>
          <w:spacing w:val="-2"/>
          <w:sz w:val="21"/>
        </w:rPr>
        <w:t>OBJETIVO</w:t>
      </w:r>
    </w:p>
    <w:p w:rsidR="00E52278" w:rsidRDefault="006756FE" w14:paraId="44EB7819" w14:textId="77777777">
      <w:pPr>
        <w:pStyle w:val="Textoindependiente"/>
        <w:spacing w:before="240"/>
        <w:ind w:left="143" w:right="702"/>
        <w:jc w:val="both"/>
      </w:pPr>
      <w:r>
        <w:rPr>
          <w:sz w:val="21"/>
        </w:rPr>
        <w:t>El objetivo de este documento es garantizar que los datos personales (tal y como se definen a continuación) no se conserven durante más tiempo del necesario para alcanzar los fines para los que fueron recopilados inicialmente, de conformidad con los requisitos de la legislación de la UE en materia de protección de datos.</w:t>
      </w:r>
    </w:p>
    <w:p w:rsidR="00E52278" w:rsidRDefault="00E52278" w14:paraId="186B272F" w14:textId="77777777">
      <w:pPr>
        <w:pStyle w:val="Textoindependiente"/>
        <w:spacing w:before="84"/>
      </w:pPr>
    </w:p>
    <w:p w:rsidR="00E52278" w:rsidRDefault="006756FE" w14:paraId="61CAF038" w14:textId="77777777">
      <w:pPr>
        <w:pStyle w:val="Ttulo1"/>
        <w:numPr>
          <w:ilvl w:val="0"/>
          <w:numId w:val="7"/>
        </w:numPr>
        <w:tabs>
          <w:tab w:val="left" w:pos="1276"/>
        </w:tabs>
      </w:pPr>
      <w:bookmarkStart w:name="2_Scope" w:id="1"/>
      <w:bookmarkEnd w:id="1"/>
      <w:r>
        <w:rPr>
          <w:spacing w:val="-2"/>
          <w:sz w:val="21"/>
        </w:rPr>
        <w:t>ÁMBITO</w:t>
      </w:r>
    </w:p>
    <w:p w:rsidR="00E52278" w:rsidRDefault="006756FE" w14:paraId="416E6C62" w14:textId="77777777">
      <w:pPr>
        <w:pStyle w:val="Textoindependiente"/>
        <w:spacing w:before="240"/>
        <w:ind w:left="143" w:right="703"/>
        <w:jc w:val="both"/>
      </w:pPr>
      <w:r>
        <w:rPr>
          <w:sz w:val="21"/>
        </w:rPr>
        <w:t>Este procedimiento se aplica a todos los empleados de Grünenthal en la sede central de Grünenthal. También establece los principios y normas para todos los procedimientos operativos estándar locales de las filiales de Grünenthal, de conformidad con todas las leyes de privacidad de datos aplicables.</w:t>
      </w:r>
    </w:p>
    <w:p w:rsidR="00E52278" w:rsidRDefault="00E52278" w14:paraId="4440D5DA" w14:textId="77777777">
      <w:pPr>
        <w:pStyle w:val="Textoindependiente"/>
        <w:spacing w:before="84"/>
      </w:pPr>
    </w:p>
    <w:p w:rsidR="00E52278" w:rsidRDefault="006756FE" w14:paraId="0658D567" w14:textId="77777777">
      <w:pPr>
        <w:pStyle w:val="Ttulo1"/>
        <w:numPr>
          <w:ilvl w:val="0"/>
          <w:numId w:val="7"/>
        </w:numPr>
        <w:tabs>
          <w:tab w:val="left" w:pos="1276"/>
        </w:tabs>
      </w:pPr>
      <w:bookmarkStart w:name="3_Responsibilities" w:id="2"/>
      <w:bookmarkEnd w:id="2"/>
      <w:r>
        <w:rPr>
          <w:spacing w:val="-2"/>
          <w:sz w:val="21"/>
        </w:rPr>
        <w:t>RESPONSABILIDADES</w:t>
      </w:r>
    </w:p>
    <w:p w:rsidR="00E52278" w:rsidRDefault="006756FE" w14:paraId="18FF95A8" w14:textId="77777777">
      <w:pPr>
        <w:pStyle w:val="Textoindependiente"/>
        <w:spacing w:before="240"/>
        <w:ind w:left="143" w:right="839"/>
      </w:pPr>
      <w:r>
        <w:rPr>
          <w:sz w:val="21"/>
        </w:rPr>
        <w:t xml:space="preserve">Esta sección proporciona información sobre las funciones implicadas en el </w:t>
      </w:r>
      <w:r>
        <w:rPr>
          <w:spacing w:val="-2"/>
          <w:sz w:val="21"/>
        </w:rPr>
        <w:t>proceso</w:t>
      </w:r>
      <w:r>
        <w:rPr>
          <w:sz w:val="21"/>
        </w:rPr>
        <w:t xml:space="preserve"> descrito</w:t>
      </w:r>
      <w:r>
        <w:rPr>
          <w:spacing w:val="-2"/>
          <w:sz w:val="21"/>
        </w:rPr>
        <w:t>.</w:t>
      </w:r>
    </w:p>
    <w:p w:rsidR="00E52278" w:rsidRDefault="00E52278" w14:paraId="201CFB37" w14:textId="77777777">
      <w:pPr>
        <w:pStyle w:val="Textoindependiente"/>
        <w:spacing w:before="165" w:after="1"/>
        <w:rPr>
          <w:sz w:val="20"/>
        </w:rPr>
      </w:pPr>
    </w:p>
    <w:tbl>
      <w:tblPr>
        <w:tblStyle w:val="TableNormal"/>
        <w:tblW w:w="0" w:type="auto"/>
        <w:tblInd w:w="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655"/>
        <w:gridCol w:w="5870"/>
      </w:tblGrid>
      <w:tr w:rsidR="00E52278" w14:paraId="6107821B" w14:textId="77777777">
        <w:trPr>
          <w:trHeight w:val="398"/>
        </w:trPr>
        <w:tc>
          <w:tcPr>
            <w:tcW w:w="3655" w:type="dxa"/>
          </w:tcPr>
          <w:p w:rsidR="00E52278" w:rsidRDefault="006756FE" w14:paraId="12DE34C4" w14:textId="77777777">
            <w:pPr>
              <w:pStyle w:val="TableParagraph"/>
              <w:spacing w:before="2"/>
              <w:rPr>
                <w:b/>
                <w:sz w:val="24"/>
              </w:rPr>
            </w:pPr>
            <w:r>
              <w:rPr>
                <w:b/>
                <w:spacing w:val="-4"/>
                <w:sz w:val="21"/>
              </w:rPr>
              <w:t>Función</w:t>
            </w:r>
          </w:p>
        </w:tc>
        <w:tc>
          <w:tcPr>
            <w:tcW w:w="5870" w:type="dxa"/>
          </w:tcPr>
          <w:p w:rsidR="00E52278" w:rsidRDefault="006756FE" w14:paraId="719AF720" w14:textId="77777777">
            <w:pPr>
              <w:pStyle w:val="TableParagraph"/>
              <w:spacing w:before="2"/>
              <w:ind w:left="105"/>
              <w:rPr>
                <w:b/>
                <w:sz w:val="24"/>
              </w:rPr>
            </w:pPr>
            <w:r>
              <w:rPr>
                <w:b/>
                <w:spacing w:val="-2"/>
                <w:sz w:val="21"/>
              </w:rPr>
              <w:t>Responsabilidad</w:t>
            </w:r>
          </w:p>
        </w:tc>
      </w:tr>
      <w:tr w:rsidR="00E52278" w14:paraId="5D9CC11D" w14:textId="77777777">
        <w:trPr>
          <w:trHeight w:val="2051"/>
        </w:trPr>
        <w:tc>
          <w:tcPr>
            <w:tcW w:w="3655" w:type="dxa"/>
          </w:tcPr>
          <w:p w:rsidR="00E52278" w:rsidRDefault="006756FE" w14:paraId="78172CD5" w14:textId="77777777">
            <w:pPr>
              <w:pStyle w:val="TableParagraph"/>
              <w:ind w:right="96"/>
              <w:jc w:val="both"/>
              <w:rPr>
                <w:sz w:val="24"/>
              </w:rPr>
            </w:pPr>
            <w:r>
              <w:rPr>
                <w:sz w:val="21"/>
              </w:rPr>
              <w:t xml:space="preserve">Departamento responsable del tratamiento de datos personales (todos </w:t>
            </w:r>
            <w:r>
              <w:rPr>
                <w:spacing w:val="-2"/>
                <w:sz w:val="21"/>
              </w:rPr>
              <w:t>los empleados)</w:t>
            </w:r>
          </w:p>
        </w:tc>
        <w:tc>
          <w:tcPr>
            <w:tcW w:w="5870" w:type="dxa"/>
          </w:tcPr>
          <w:p w:rsidR="00E52278" w:rsidRDefault="006756FE" w14:paraId="2C1FDE37" w14:textId="77777777">
            <w:pPr>
              <w:pStyle w:val="TableParagraph"/>
              <w:ind w:left="105" w:right="92"/>
              <w:jc w:val="both"/>
              <w:rPr>
                <w:sz w:val="24"/>
              </w:rPr>
            </w:pPr>
            <w:r>
              <w:rPr>
                <w:sz w:val="21"/>
              </w:rPr>
              <w:t>Identificar y marcar cualquier dato personal que obre en su poder (como los datos contenidos en correos electrónicos, archivos, notas u otros medios) y eliminar dichos datos una vez que se hayan cumplido los fines iniciales para los que fueron recopilados, o cuando ya no sean aplicables los plazos legales de conservación de datos, de acuerdo con el enfoque basado en el riesgo definido en la sección 5.3 del presente SOP.</w:t>
            </w:r>
          </w:p>
        </w:tc>
      </w:tr>
      <w:tr w:rsidR="00E52278" w14:paraId="7BBCC99F" w14:textId="77777777">
        <w:trPr>
          <w:trHeight w:val="1499"/>
        </w:trPr>
        <w:tc>
          <w:tcPr>
            <w:tcW w:w="3655" w:type="dxa"/>
          </w:tcPr>
          <w:p w:rsidR="00E52278" w:rsidRDefault="006756FE" w14:paraId="61A96D45" w14:textId="77777777">
            <w:pPr>
              <w:pStyle w:val="TableParagraph"/>
              <w:ind w:right="93"/>
              <w:jc w:val="both"/>
              <w:rPr>
                <w:sz w:val="24"/>
              </w:rPr>
            </w:pPr>
            <w:r>
              <w:rPr>
                <w:sz w:val="21"/>
              </w:rPr>
              <w:t>Coordinadores de protección de datos (empleados designados que actúan como enlace entre el área funcional y el equipo de privacidad de datos)</w:t>
            </w:r>
          </w:p>
        </w:tc>
        <w:tc>
          <w:tcPr>
            <w:tcW w:w="5870" w:type="dxa"/>
          </w:tcPr>
          <w:p w:rsidR="00E52278" w:rsidRDefault="006756FE" w14:paraId="3BD1D3F2" w14:textId="77777777">
            <w:pPr>
              <w:pStyle w:val="TableParagraph"/>
              <w:ind w:left="105" w:right="91"/>
              <w:jc w:val="both"/>
              <w:rPr>
                <w:sz w:val="24"/>
              </w:rPr>
            </w:pPr>
            <w:r>
              <w:rPr>
                <w:sz w:val="21"/>
              </w:rPr>
              <w:t>Coordinar las actividades de eliminación de datos realizadas por los compañeros del área funcional correspondiente, con el apoyo del equipo de privacidad de datos.</w:t>
            </w:r>
          </w:p>
        </w:tc>
      </w:tr>
      <w:tr w:rsidR="00E52278" w14:paraId="4657B04A" w14:textId="77777777">
        <w:trPr>
          <w:trHeight w:val="1499"/>
        </w:trPr>
        <w:tc>
          <w:tcPr>
            <w:tcW w:w="3655" w:type="dxa"/>
          </w:tcPr>
          <w:p w:rsidR="00E52278" w:rsidRDefault="006756FE" w14:paraId="148FC962" w14:textId="77777777">
            <w:pPr>
              <w:pStyle w:val="TableParagraph"/>
              <w:ind w:right="94"/>
              <w:jc w:val="both"/>
              <w:rPr>
                <w:sz w:val="24"/>
              </w:rPr>
            </w:pPr>
            <w:r>
              <w:rPr>
                <w:sz w:val="21"/>
              </w:rPr>
              <w:t>Equipo de Privacidad de Datos (formado por colegas de Cumplimiento Global, TI Global, Legal Global y el responsable externo de protección de datos)</w:t>
            </w:r>
          </w:p>
        </w:tc>
        <w:tc>
          <w:tcPr>
            <w:tcW w:w="5870" w:type="dxa"/>
          </w:tcPr>
          <w:p w:rsidR="00E52278" w:rsidRDefault="006756FE" w14:paraId="6B2D6860" w14:textId="77777777">
            <w:pPr>
              <w:pStyle w:val="TableParagraph"/>
              <w:ind w:left="105"/>
              <w:rPr>
                <w:sz w:val="24"/>
              </w:rPr>
            </w:pPr>
            <w:r>
              <w:rPr>
                <w:sz w:val="21"/>
              </w:rPr>
              <w:t>Presta apoyo a todas las áreas funcionales en sus actividades de eliminación de datos personales, según sea necesario.</w:t>
            </w:r>
          </w:p>
          <w:p w:rsidR="00E52278" w:rsidRDefault="006756FE" w14:paraId="480A186C" w14:textId="77777777">
            <w:pPr>
              <w:pStyle w:val="TableParagraph"/>
              <w:spacing w:before="120"/>
              <w:ind w:left="105"/>
              <w:rPr>
                <w:sz w:val="24"/>
              </w:rPr>
            </w:pPr>
            <w:r>
              <w:rPr>
                <w:sz w:val="21"/>
              </w:rPr>
              <w:t>Aprueban las excepciones a los periodos de retención de datos predefinidos, si procede.</w:t>
            </w:r>
          </w:p>
        </w:tc>
      </w:tr>
    </w:tbl>
    <w:p w:rsidR="00E52278" w:rsidRDefault="00E52278" w14:paraId="2D12E48B" w14:textId="77777777">
      <w:pPr>
        <w:pStyle w:val="Textoindependiente"/>
        <w:spacing w:before="85"/>
      </w:pPr>
    </w:p>
    <w:p w:rsidR="00E52278" w:rsidRDefault="006756FE" w14:paraId="48D68448" w14:textId="77777777">
      <w:pPr>
        <w:pStyle w:val="Ttulo1"/>
        <w:numPr>
          <w:ilvl w:val="0"/>
          <w:numId w:val="7"/>
        </w:numPr>
        <w:tabs>
          <w:tab w:val="left" w:pos="1276"/>
        </w:tabs>
        <w:spacing w:before="1"/>
      </w:pPr>
      <w:bookmarkStart w:name="4_Terms_and_Definitions" w:id="3"/>
      <w:bookmarkEnd w:id="3"/>
      <w:r>
        <w:rPr>
          <w:sz w:val="21"/>
        </w:rPr>
        <w:t xml:space="preserve">TÉRMINOS Y </w:t>
      </w:r>
      <w:r>
        <w:rPr>
          <w:spacing w:val="-2"/>
          <w:sz w:val="21"/>
        </w:rPr>
        <w:t>DEFINICIONES</w:t>
      </w:r>
    </w:p>
    <w:p w:rsidR="00E52278" w:rsidRDefault="00E52278" w14:paraId="689DAB8D" w14:textId="77777777">
      <w:pPr>
        <w:pStyle w:val="Textoindependiente"/>
        <w:spacing w:before="9"/>
        <w:rPr>
          <w:b/>
          <w:sz w:val="20"/>
        </w:rPr>
      </w:pPr>
    </w:p>
    <w:tbl>
      <w:tblPr>
        <w:tblStyle w:val="TableNormal"/>
        <w:tblW w:w="0" w:type="auto"/>
        <w:tblInd w:w="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715"/>
        <w:gridCol w:w="5810"/>
      </w:tblGrid>
      <w:tr w:rsidR="00E52278" w14:paraId="17FB3081" w14:textId="77777777">
        <w:trPr>
          <w:trHeight w:val="275"/>
        </w:trPr>
        <w:tc>
          <w:tcPr>
            <w:tcW w:w="3715" w:type="dxa"/>
          </w:tcPr>
          <w:p w:rsidR="00E52278" w:rsidRDefault="006756FE" w14:paraId="03CB218F" w14:textId="77777777">
            <w:pPr>
              <w:pStyle w:val="TableParagraph"/>
              <w:spacing w:line="255" w:lineRule="exact"/>
              <w:rPr>
                <w:sz w:val="24"/>
              </w:rPr>
            </w:pPr>
            <w:r>
              <w:rPr>
                <w:spacing w:val="-2"/>
                <w:sz w:val="21"/>
              </w:rPr>
              <w:t>Términos</w:t>
            </w:r>
          </w:p>
        </w:tc>
        <w:tc>
          <w:tcPr>
            <w:tcW w:w="5810" w:type="dxa"/>
          </w:tcPr>
          <w:p w:rsidR="00E52278" w:rsidRDefault="006756FE" w14:paraId="22D31C8E" w14:textId="77777777">
            <w:pPr>
              <w:pStyle w:val="TableParagraph"/>
              <w:spacing w:line="255" w:lineRule="exact"/>
              <w:ind w:left="108"/>
              <w:rPr>
                <w:sz w:val="24"/>
              </w:rPr>
            </w:pPr>
            <w:r>
              <w:rPr>
                <w:sz w:val="21"/>
              </w:rPr>
              <w:t>Definición/</w:t>
            </w:r>
            <w:r>
              <w:rPr>
                <w:spacing w:val="-2"/>
                <w:sz w:val="21"/>
              </w:rPr>
              <w:t>Explicación</w:t>
            </w:r>
          </w:p>
        </w:tc>
      </w:tr>
      <w:tr w:rsidR="00E52278" w14:paraId="1658F877" w14:textId="77777777">
        <w:trPr>
          <w:trHeight w:val="1379"/>
        </w:trPr>
        <w:tc>
          <w:tcPr>
            <w:tcW w:w="3715" w:type="dxa"/>
          </w:tcPr>
          <w:p w:rsidR="00E52278" w:rsidRDefault="006756FE" w14:paraId="1A809231" w14:textId="77777777">
            <w:pPr>
              <w:pStyle w:val="TableParagraph"/>
              <w:tabs>
                <w:tab w:val="left" w:pos="1110"/>
                <w:tab w:val="left" w:pos="2409"/>
              </w:tabs>
              <w:ind w:right="93"/>
              <w:rPr>
                <w:sz w:val="24"/>
              </w:rPr>
            </w:pPr>
            <w:r>
              <w:rPr>
                <w:spacing w:val="-4"/>
                <w:sz w:val="21"/>
              </w:rPr>
              <w:t>Datos</w:t>
            </w:r>
            <w:r>
              <w:rPr>
                <w:sz w:val="21"/>
              </w:rPr>
              <w:tab/>
            </w:r>
            <w:r>
              <w:rPr>
                <w:spacing w:val="-2"/>
                <w:sz w:val="21"/>
              </w:rPr>
              <w:t>Sujeto</w:t>
            </w:r>
            <w:r>
              <w:rPr>
                <w:sz w:val="21"/>
              </w:rPr>
              <w:tab/>
            </w:r>
            <w:r>
              <w:rPr>
                <w:spacing w:val="-2"/>
                <w:sz w:val="21"/>
              </w:rPr>
              <w:t>(persona afectada)</w:t>
            </w:r>
          </w:p>
        </w:tc>
        <w:tc>
          <w:tcPr>
            <w:tcW w:w="5810" w:type="dxa"/>
          </w:tcPr>
          <w:p w:rsidR="00E52278" w:rsidRDefault="006756FE" w14:paraId="517526A9" w14:textId="77777777">
            <w:pPr>
              <w:pStyle w:val="TableParagraph"/>
              <w:spacing w:line="270" w:lineRule="atLeast"/>
              <w:ind w:left="108" w:right="90"/>
              <w:jc w:val="both"/>
              <w:rPr>
                <w:sz w:val="24"/>
              </w:rPr>
            </w:pPr>
            <w:r>
              <w:rPr>
                <w:sz w:val="21"/>
              </w:rPr>
              <w:t>Persona física que puede identificarse, directa o indirectamente, en particular mediante referencia a un identificador, como un nombre, un número de identificación, datos de localización, un identificador en línea, o a uno o varios factores específicos</w:t>
            </w:r>
            <w:r>
              <w:rPr>
                <w:spacing w:val="35"/>
                <w:sz w:val="21"/>
              </w:rPr>
              <w:t xml:space="preserve">  </w:t>
            </w:r>
            <w:r>
              <w:rPr>
                <w:sz w:val="21"/>
              </w:rPr>
              <w:t xml:space="preserve"> a</w:t>
            </w:r>
            <w:r>
              <w:rPr>
                <w:spacing w:val="36"/>
                <w:sz w:val="21"/>
              </w:rPr>
              <w:t xml:space="preserve">  </w:t>
            </w:r>
            <w:r>
              <w:rPr>
                <w:sz w:val="21"/>
              </w:rPr>
              <w:t xml:space="preserve"> los</w:t>
            </w:r>
            <w:r>
              <w:rPr>
                <w:spacing w:val="36"/>
                <w:sz w:val="21"/>
              </w:rPr>
              <w:t xml:space="preserve">  </w:t>
            </w:r>
            <w:r>
              <w:rPr>
                <w:sz w:val="21"/>
              </w:rPr>
              <w:t xml:space="preserve"> físicos,</w:t>
            </w:r>
            <w:r>
              <w:rPr>
                <w:spacing w:val="36"/>
                <w:sz w:val="21"/>
              </w:rPr>
              <w:t xml:space="preserve">  </w:t>
            </w:r>
            <w:r>
              <w:rPr>
                <w:sz w:val="21"/>
              </w:rPr>
              <w:t xml:space="preserve"> fisiológicos,</w:t>
            </w:r>
            <w:r>
              <w:rPr>
                <w:spacing w:val="36"/>
                <w:sz w:val="21"/>
              </w:rPr>
              <w:t xml:space="preserve">  </w:t>
            </w:r>
            <w:r>
              <w:rPr>
                <w:spacing w:val="-2"/>
                <w:sz w:val="21"/>
              </w:rPr>
              <w:t xml:space="preserve"> genéticos,</w:t>
            </w:r>
          </w:p>
        </w:tc>
      </w:tr>
    </w:tbl>
    <w:p w:rsidR="00E52278" w:rsidRDefault="00E52278" w14:paraId="6E40A340" w14:textId="77777777">
      <w:pPr>
        <w:pStyle w:val="TableParagraph"/>
        <w:spacing w:line="270" w:lineRule="atLeast"/>
        <w:jc w:val="both"/>
        <w:rPr>
          <w:sz w:val="24"/>
        </w:rPr>
        <w:sectPr w:rsidR="00E52278">
          <w:headerReference w:type="default" r:id="rId7"/>
          <w:type w:val="continuous"/>
          <w:pgSz w:w="11910" w:h="16850" w:orient="portrait"/>
          <w:pgMar w:top="1040" w:right="708" w:bottom="280" w:left="1275" w:header="787" w:footer="0" w:gutter="0"/>
          <w:pgNumType w:start="1"/>
          <w:cols w:space="708"/>
        </w:sectPr>
      </w:pPr>
    </w:p>
    <w:p w:rsidR="00E52278" w:rsidRDefault="00E52278" w14:paraId="40C3CD07" w14:textId="77777777">
      <w:pPr>
        <w:pStyle w:val="Textoindependiente"/>
        <w:spacing w:before="143"/>
        <w:rPr>
          <w:b/>
          <w:sz w:val="20"/>
        </w:rPr>
      </w:pPr>
    </w:p>
    <w:tbl>
      <w:tblPr>
        <w:tblStyle w:val="TableNormal"/>
        <w:tblW w:w="0" w:type="auto"/>
        <w:tblInd w:w="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715"/>
        <w:gridCol w:w="5810"/>
      </w:tblGrid>
      <w:tr w:rsidR="00E52278" w14:paraId="6E3CF003" w14:textId="77777777">
        <w:trPr>
          <w:trHeight w:val="275"/>
        </w:trPr>
        <w:tc>
          <w:tcPr>
            <w:tcW w:w="3715" w:type="dxa"/>
          </w:tcPr>
          <w:p w:rsidR="00E52278" w:rsidRDefault="006756FE" w14:paraId="329D6C45" w14:textId="77777777">
            <w:pPr>
              <w:pStyle w:val="TableParagraph"/>
              <w:spacing w:line="255" w:lineRule="exact"/>
              <w:rPr>
                <w:sz w:val="24"/>
              </w:rPr>
            </w:pPr>
            <w:r>
              <w:rPr>
                <w:spacing w:val="-2"/>
                <w:sz w:val="21"/>
              </w:rPr>
              <w:t>Términos</w:t>
            </w:r>
          </w:p>
        </w:tc>
        <w:tc>
          <w:tcPr>
            <w:tcW w:w="5810" w:type="dxa"/>
          </w:tcPr>
          <w:p w:rsidR="00E52278" w:rsidRDefault="006756FE" w14:paraId="5C4F6E07" w14:textId="77777777">
            <w:pPr>
              <w:pStyle w:val="TableParagraph"/>
              <w:spacing w:line="255" w:lineRule="exact"/>
              <w:ind w:left="108"/>
              <w:rPr>
                <w:sz w:val="24"/>
              </w:rPr>
            </w:pPr>
            <w:r>
              <w:rPr>
                <w:sz w:val="21"/>
              </w:rPr>
              <w:t>Definición/</w:t>
            </w:r>
            <w:r>
              <w:rPr>
                <w:spacing w:val="-2"/>
                <w:sz w:val="21"/>
              </w:rPr>
              <w:t>Explicación</w:t>
            </w:r>
          </w:p>
        </w:tc>
      </w:tr>
      <w:tr w:rsidR="00E52278" w14:paraId="266A2EA4" w14:textId="77777777">
        <w:trPr>
          <w:trHeight w:val="671"/>
        </w:trPr>
        <w:tc>
          <w:tcPr>
            <w:tcW w:w="3715" w:type="dxa"/>
          </w:tcPr>
          <w:p w:rsidR="00E52278" w:rsidRDefault="00E52278" w14:paraId="32D08B64" w14:textId="77777777">
            <w:pPr>
              <w:pStyle w:val="TableParagraph"/>
              <w:ind w:left="0"/>
              <w:rPr>
                <w:rFonts w:ascii="Times New Roman"/>
              </w:rPr>
            </w:pPr>
          </w:p>
        </w:tc>
        <w:tc>
          <w:tcPr>
            <w:tcW w:w="5810" w:type="dxa"/>
          </w:tcPr>
          <w:p w:rsidR="00E52278" w:rsidRDefault="006756FE" w14:paraId="05804F2D" w14:textId="77777777">
            <w:pPr>
              <w:pStyle w:val="TableParagraph"/>
              <w:ind w:left="108"/>
              <w:rPr>
                <w:sz w:val="24"/>
              </w:rPr>
            </w:pPr>
            <w:r>
              <w:rPr>
                <w:sz w:val="21"/>
              </w:rPr>
              <w:t>identidad física, xml-ph-0003@deepl.internal fisiológica, xml-ph-0004@deepl.internal genética,</w:t>
            </w:r>
          </w:p>
        </w:tc>
      </w:tr>
      <w:tr w:rsidR="00E52278" w14:paraId="61FB794C" w14:textId="77777777">
        <w:trPr>
          <w:trHeight w:val="2447"/>
        </w:trPr>
        <w:tc>
          <w:tcPr>
            <w:tcW w:w="3715" w:type="dxa"/>
          </w:tcPr>
          <w:p w:rsidR="00E52278" w:rsidRDefault="006756FE" w14:paraId="528C1362" w14:textId="77777777">
            <w:pPr>
              <w:pStyle w:val="TableParagraph"/>
              <w:rPr>
                <w:sz w:val="24"/>
              </w:rPr>
            </w:pPr>
            <w:r>
              <w:rPr>
                <w:spacing w:val="-4"/>
                <w:sz w:val="21"/>
              </w:rPr>
              <w:t xml:space="preserve">Datos </w:t>
            </w:r>
            <w:r>
              <w:rPr>
                <w:sz w:val="21"/>
              </w:rPr>
              <w:t>personales</w:t>
            </w:r>
          </w:p>
        </w:tc>
        <w:tc>
          <w:tcPr>
            <w:tcW w:w="5810" w:type="dxa"/>
          </w:tcPr>
          <w:p w:rsidR="00E52278" w:rsidRDefault="006756FE" w14:paraId="62D06D38" w14:textId="77777777">
            <w:pPr>
              <w:pStyle w:val="TableParagraph"/>
              <w:ind w:left="108"/>
              <w:jc w:val="both"/>
              <w:rPr>
                <w:sz w:val="24"/>
              </w:rPr>
            </w:pPr>
            <w:r>
              <w:rPr>
                <w:sz w:val="21"/>
              </w:rPr>
              <w:t xml:space="preserve">Cualquier información relacionada con un </w:t>
            </w:r>
            <w:r>
              <w:rPr>
                <w:spacing w:val="-2"/>
                <w:sz w:val="21"/>
              </w:rPr>
              <w:t>interesado.</w:t>
            </w:r>
          </w:p>
          <w:p w:rsidR="00E52278" w:rsidRDefault="006756FE" w14:paraId="70FAD648" w14:textId="77777777">
            <w:pPr>
              <w:pStyle w:val="TableParagraph"/>
              <w:spacing w:before="120"/>
              <w:ind w:right="90"/>
              <w:jc w:val="both"/>
              <w:rPr>
                <w:sz w:val="24"/>
              </w:rPr>
            </w:pPr>
            <w:r>
              <w:rPr>
                <w:sz w:val="21"/>
              </w:rPr>
              <w:t>El término «cualquier información» se refiere a cualquier tipo de dato que pueda atribuirse, directa o indirectamente, a una persona física, como el nombre, la edad, la profesión, el cargo en la empresa, los datos de contacto personales o profesionales, las opiniones, los datos personales seudonimizados (tal y como se definen a continuación), las imágenes, las grabaciones de vídeo o audio, los datos relativos a la salud, etc.</w:t>
            </w:r>
          </w:p>
        </w:tc>
      </w:tr>
      <w:tr w:rsidR="00E52278" w14:paraId="3C14A06C" w14:textId="77777777">
        <w:trPr>
          <w:trHeight w:val="1775"/>
        </w:trPr>
        <w:tc>
          <w:tcPr>
            <w:tcW w:w="3715" w:type="dxa"/>
          </w:tcPr>
          <w:p w:rsidR="00E52278" w:rsidRDefault="006756FE" w14:paraId="07693D3E" w14:textId="77777777">
            <w:pPr>
              <w:pStyle w:val="TableParagraph"/>
              <w:rPr>
                <w:sz w:val="24"/>
              </w:rPr>
            </w:pPr>
            <w:r>
              <w:rPr>
                <w:sz w:val="21"/>
              </w:rPr>
              <w:t xml:space="preserve">Categorías especiales de </w:t>
            </w:r>
            <w:r>
              <w:rPr>
                <w:spacing w:val="-4"/>
                <w:sz w:val="21"/>
              </w:rPr>
              <w:t>datos</w:t>
            </w:r>
            <w:r>
              <w:rPr>
                <w:sz w:val="21"/>
              </w:rPr>
              <w:t xml:space="preserve"> personales</w:t>
            </w:r>
          </w:p>
        </w:tc>
        <w:tc>
          <w:tcPr>
            <w:tcW w:w="5810" w:type="dxa"/>
          </w:tcPr>
          <w:p w:rsidR="00E52278" w:rsidRDefault="006756FE" w14:paraId="6B5F24D3" w14:textId="77777777">
            <w:pPr>
              <w:pStyle w:val="TableParagraph"/>
              <w:ind w:left="108" w:right="91"/>
              <w:jc w:val="both"/>
              <w:rPr>
                <w:sz w:val="24"/>
              </w:rPr>
            </w:pPr>
            <w:r>
              <w:rPr>
                <w:sz w:val="21"/>
              </w:rPr>
              <w:t>Datos personales que revelan el origen racial o étnico, las opiniones políticas, las creencias religiosas o filosóficas, la afiliación sindical, los datos genéticos, los datos biométricos con el fin de identificar de manera única a una persona física, los datos relativos a la salud o los datos relativos a la vida sexual o la orientación sexual de una persona física.</w:t>
            </w:r>
          </w:p>
        </w:tc>
      </w:tr>
      <w:tr w:rsidR="00E52278" w14:paraId="1FC229E4" w14:textId="77777777">
        <w:trPr>
          <w:trHeight w:val="2051"/>
        </w:trPr>
        <w:tc>
          <w:tcPr>
            <w:tcW w:w="3715" w:type="dxa"/>
          </w:tcPr>
          <w:p w:rsidR="00E52278" w:rsidRDefault="006756FE" w14:paraId="7E5B2D1E" w14:textId="77777777">
            <w:pPr>
              <w:pStyle w:val="TableParagraph"/>
              <w:rPr>
                <w:sz w:val="24"/>
              </w:rPr>
            </w:pPr>
            <w:r>
              <w:rPr>
                <w:spacing w:val="-4"/>
                <w:sz w:val="21"/>
              </w:rPr>
              <w:t xml:space="preserve">Datos </w:t>
            </w:r>
            <w:r>
              <w:rPr>
                <w:sz w:val="21"/>
              </w:rPr>
              <w:t>personales seudonimizados</w:t>
            </w:r>
          </w:p>
        </w:tc>
        <w:tc>
          <w:tcPr>
            <w:tcW w:w="5810" w:type="dxa"/>
          </w:tcPr>
          <w:p w:rsidR="00E52278" w:rsidRDefault="006756FE" w14:paraId="0ADEC898" w14:textId="77777777">
            <w:pPr>
              <w:pStyle w:val="TableParagraph"/>
              <w:ind w:left="108" w:right="90"/>
              <w:jc w:val="both"/>
              <w:rPr>
                <w:sz w:val="24"/>
              </w:rPr>
            </w:pPr>
            <w:r>
              <w:rPr>
                <w:sz w:val="21"/>
              </w:rPr>
              <w:t>Datos personales que ya no pueden atribuirse a un interesado específico sin el uso de información adicional, siempre que dicha información adicional se mantenga por separado y esté sujeta a medidas técnicas y organizativas para garantizar que los datos personales no se atribuyan a una persona física identificada o identificable.</w:t>
            </w:r>
          </w:p>
        </w:tc>
      </w:tr>
      <w:tr w:rsidR="00E52278" w14:paraId="4D670C9E" w14:textId="77777777">
        <w:trPr>
          <w:trHeight w:val="2603"/>
        </w:trPr>
        <w:tc>
          <w:tcPr>
            <w:tcW w:w="3715" w:type="dxa"/>
          </w:tcPr>
          <w:p w:rsidR="00E52278" w:rsidRDefault="006756FE" w14:paraId="76CDCBEB" w14:textId="77777777">
            <w:pPr>
              <w:pStyle w:val="TableParagraph"/>
              <w:rPr>
                <w:sz w:val="24"/>
              </w:rPr>
            </w:pPr>
            <w:r>
              <w:rPr>
                <w:sz w:val="21"/>
              </w:rPr>
              <w:t>Tratamiento de datos personales (o actividad de tratamiento)</w:t>
            </w:r>
          </w:p>
        </w:tc>
        <w:tc>
          <w:tcPr>
            <w:tcW w:w="5810" w:type="dxa"/>
          </w:tcPr>
          <w:p w:rsidR="00E52278" w:rsidRDefault="006756FE" w14:paraId="5014EA22" w14:textId="77777777">
            <w:pPr>
              <w:pStyle w:val="TableParagraph"/>
              <w:ind w:left="108" w:right="90"/>
              <w:jc w:val="both"/>
              <w:rPr>
                <w:sz w:val="24"/>
              </w:rPr>
            </w:pPr>
            <w:r>
              <w:rPr>
                <w:sz w:val="21"/>
              </w:rPr>
              <w:t xml:space="preserve">Cualquier operación o conjunto de operaciones que se realice sobre datos personales o conjuntos de datos personales, ya sea por medios automatizados o no, como la recopilación, el registro, la organización, la estructuración, el almacenamiento, la adaptación o la modificación, la recuperación, la consulta, el uso, la divulgación por transmisión, la difusión o cualquier otra forma de puesta a disposición, la alineación o la combinación, la restricción, la supresión o </w:t>
            </w:r>
            <w:r>
              <w:rPr>
                <w:spacing w:val="-2"/>
                <w:sz w:val="21"/>
              </w:rPr>
              <w:t>la destrucción.</w:t>
            </w:r>
          </w:p>
        </w:tc>
      </w:tr>
      <w:tr w:rsidR="00E52278" w14:paraId="0B876AAA" w14:textId="77777777">
        <w:trPr>
          <w:trHeight w:val="947"/>
        </w:trPr>
        <w:tc>
          <w:tcPr>
            <w:tcW w:w="3715" w:type="dxa"/>
          </w:tcPr>
          <w:p w:rsidR="00E52278" w:rsidRDefault="006756FE" w14:paraId="055BE351" w14:textId="77777777">
            <w:pPr>
              <w:pStyle w:val="TableParagraph"/>
              <w:rPr>
                <w:sz w:val="24"/>
              </w:rPr>
            </w:pPr>
            <w:r>
              <w:rPr>
                <w:spacing w:val="-2"/>
                <w:sz w:val="21"/>
              </w:rPr>
              <w:t>Periodo</w:t>
            </w:r>
            <w:r>
              <w:rPr>
                <w:sz w:val="21"/>
              </w:rPr>
              <w:t xml:space="preserve"> de conservación de los datos</w:t>
            </w:r>
          </w:p>
        </w:tc>
        <w:tc>
          <w:tcPr>
            <w:tcW w:w="5810" w:type="dxa"/>
          </w:tcPr>
          <w:p w:rsidR="00E52278" w:rsidRDefault="006756FE" w14:paraId="312C4CB4" w14:textId="77777777">
            <w:pPr>
              <w:pStyle w:val="TableParagraph"/>
              <w:ind w:left="108" w:right="93"/>
              <w:jc w:val="both"/>
              <w:rPr>
                <w:sz w:val="24"/>
              </w:rPr>
            </w:pPr>
            <w:r>
              <w:rPr>
                <w:sz w:val="21"/>
              </w:rPr>
              <w:t>Plazo durante el cual los datos personales pueden ser tratados y almacenados legalmente. Una vez expirado este plazo, los datos personales deben ser eliminados.</w:t>
            </w:r>
          </w:p>
        </w:tc>
      </w:tr>
      <w:tr w:rsidR="00E52278" w14:paraId="072A6363" w14:textId="77777777">
        <w:trPr>
          <w:trHeight w:val="1226"/>
        </w:trPr>
        <w:tc>
          <w:tcPr>
            <w:tcW w:w="3715" w:type="dxa"/>
          </w:tcPr>
          <w:p w:rsidR="00E52278" w:rsidRDefault="006756FE" w14:paraId="6513A3FE" w14:textId="77777777">
            <w:pPr>
              <w:pStyle w:val="TableParagraph"/>
              <w:spacing w:before="2"/>
              <w:rPr>
                <w:sz w:val="24"/>
              </w:rPr>
            </w:pPr>
            <w:r>
              <w:rPr>
                <w:spacing w:val="-4"/>
                <w:sz w:val="21"/>
              </w:rPr>
              <w:t xml:space="preserve">Semana de </w:t>
            </w:r>
            <w:r>
              <w:rPr>
                <w:sz w:val="21"/>
              </w:rPr>
              <w:t>inventario de datos personales</w:t>
            </w:r>
          </w:p>
        </w:tc>
        <w:tc>
          <w:tcPr>
            <w:tcW w:w="5810" w:type="dxa"/>
          </w:tcPr>
          <w:p w:rsidR="00E52278" w:rsidRDefault="006756FE" w14:paraId="3D8735DE" w14:textId="77777777">
            <w:pPr>
              <w:pStyle w:val="TableParagraph"/>
              <w:spacing w:before="2"/>
              <w:ind w:left="108" w:right="92"/>
              <w:jc w:val="both"/>
              <w:rPr>
                <w:sz w:val="24"/>
              </w:rPr>
            </w:pPr>
            <w:r>
              <w:rPr>
                <w:sz w:val="21"/>
              </w:rPr>
              <w:t>Semana designada por GRT para facilitar la identificación y eliminación de los datos personales que ya no son necesarios para alcanzar los fines para los que fueron recopilados.</w:t>
            </w:r>
          </w:p>
        </w:tc>
      </w:tr>
      <w:tr w:rsidR="00E52278" w14:paraId="50220B96" w14:textId="77777777">
        <w:trPr>
          <w:trHeight w:val="671"/>
        </w:trPr>
        <w:tc>
          <w:tcPr>
            <w:tcW w:w="3715" w:type="dxa"/>
          </w:tcPr>
          <w:p w:rsidR="00E52278" w:rsidRDefault="006756FE" w14:paraId="0033895C" w14:textId="77777777">
            <w:pPr>
              <w:pStyle w:val="TableParagraph"/>
              <w:rPr>
                <w:sz w:val="24"/>
              </w:rPr>
            </w:pPr>
            <w:r>
              <w:rPr>
                <w:spacing w:val="-4"/>
                <w:sz w:val="21"/>
              </w:rPr>
              <w:t xml:space="preserve">Herramienta </w:t>
            </w:r>
            <w:r>
              <w:rPr>
                <w:sz w:val="21"/>
              </w:rPr>
              <w:t>de clasificación de datos</w:t>
            </w:r>
          </w:p>
        </w:tc>
        <w:tc>
          <w:tcPr>
            <w:tcW w:w="5810" w:type="dxa"/>
          </w:tcPr>
          <w:p w:rsidR="00E52278" w:rsidRDefault="006756FE" w14:paraId="54295155" w14:textId="77777777">
            <w:pPr>
              <w:pStyle w:val="TableParagraph"/>
              <w:ind w:left="108"/>
              <w:rPr>
                <w:sz w:val="24"/>
              </w:rPr>
            </w:pPr>
            <w:r>
              <w:rPr>
                <w:sz w:val="21"/>
              </w:rPr>
              <w:t>Hoja de cálculo Excel que proporciona un enfoque racional para evaluar el nivel de prioridad de eliminación de cada conjunto de datos.</w:t>
            </w:r>
          </w:p>
        </w:tc>
      </w:tr>
      <w:tr w:rsidR="00E52278" w14:paraId="39835E7E" w14:textId="77777777">
        <w:trPr>
          <w:trHeight w:val="551"/>
        </w:trPr>
        <w:tc>
          <w:tcPr>
            <w:tcW w:w="3715" w:type="dxa"/>
          </w:tcPr>
          <w:p w:rsidR="00E52278" w:rsidRDefault="006756FE" w14:paraId="45235C53" w14:textId="77777777">
            <w:pPr>
              <w:pStyle w:val="TableParagraph"/>
              <w:rPr>
                <w:sz w:val="24"/>
              </w:rPr>
            </w:pPr>
            <w:r>
              <w:rPr>
                <w:spacing w:val="-4"/>
                <w:sz w:val="21"/>
              </w:rPr>
              <w:t>RGPD</w:t>
            </w:r>
          </w:p>
        </w:tc>
        <w:tc>
          <w:tcPr>
            <w:tcW w:w="5810" w:type="dxa"/>
          </w:tcPr>
          <w:p w:rsidR="00E52278" w:rsidRDefault="006756FE" w14:paraId="7899A607" w14:textId="77777777">
            <w:pPr>
              <w:pStyle w:val="TableParagraph"/>
              <w:spacing w:line="270" w:lineRule="atLeast"/>
              <w:ind w:left="108"/>
              <w:rPr>
                <w:sz w:val="24"/>
              </w:rPr>
            </w:pPr>
            <w:r>
              <w:rPr>
                <w:sz w:val="21"/>
              </w:rPr>
              <w:t xml:space="preserve">El Reglamento General de Protección de Datos 2016/679 establece las normas para la protección de datos personales en </w:t>
            </w:r>
            <w:r>
              <w:rPr>
                <w:spacing w:val="-5"/>
                <w:sz w:val="21"/>
              </w:rPr>
              <w:t>la</w:t>
            </w:r>
          </w:p>
        </w:tc>
      </w:tr>
    </w:tbl>
    <w:p w:rsidR="00E52278" w:rsidRDefault="00E52278" w14:paraId="7FCCDCAA" w14:textId="77777777">
      <w:pPr>
        <w:pStyle w:val="TableParagraph"/>
        <w:spacing w:line="270" w:lineRule="atLeast"/>
        <w:rPr>
          <w:sz w:val="24"/>
        </w:rPr>
        <w:sectPr w:rsidR="00E52278">
          <w:headerReference w:type="default" r:id="rId8"/>
          <w:pgSz w:w="11910" w:h="16850" w:orient="portrait"/>
          <w:pgMar w:top="1040" w:right="708" w:bottom="280" w:left="1275" w:header="787" w:footer="0" w:gutter="0"/>
          <w:cols w:space="708"/>
        </w:sectPr>
      </w:pPr>
    </w:p>
    <w:p w:rsidR="00E52278" w:rsidRDefault="00E52278" w14:paraId="713A5E3D" w14:textId="77777777">
      <w:pPr>
        <w:pStyle w:val="Textoindependiente"/>
        <w:spacing w:before="143"/>
        <w:rPr>
          <w:b/>
          <w:sz w:val="20"/>
        </w:rPr>
      </w:pPr>
    </w:p>
    <w:tbl>
      <w:tblPr>
        <w:tblStyle w:val="TableNormal"/>
        <w:tblW w:w="0" w:type="auto"/>
        <w:tblInd w:w="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715"/>
        <w:gridCol w:w="5810"/>
      </w:tblGrid>
      <w:tr w:rsidR="00E52278" w14:paraId="6A0A0463" w14:textId="77777777">
        <w:trPr>
          <w:trHeight w:val="275"/>
        </w:trPr>
        <w:tc>
          <w:tcPr>
            <w:tcW w:w="3715" w:type="dxa"/>
          </w:tcPr>
          <w:p w:rsidR="00E52278" w:rsidRDefault="006756FE" w14:paraId="673E4D5C" w14:textId="77777777">
            <w:pPr>
              <w:pStyle w:val="TableParagraph"/>
              <w:spacing w:line="255" w:lineRule="exact"/>
              <w:rPr>
                <w:sz w:val="24"/>
              </w:rPr>
            </w:pPr>
            <w:r>
              <w:rPr>
                <w:spacing w:val="-2"/>
                <w:sz w:val="21"/>
              </w:rPr>
              <w:t>Términos</w:t>
            </w:r>
          </w:p>
        </w:tc>
        <w:tc>
          <w:tcPr>
            <w:tcW w:w="5810" w:type="dxa"/>
          </w:tcPr>
          <w:p w:rsidR="00E52278" w:rsidRDefault="006756FE" w14:paraId="5C2A9E5C" w14:textId="77777777">
            <w:pPr>
              <w:pStyle w:val="TableParagraph"/>
              <w:spacing w:line="255" w:lineRule="exact"/>
              <w:ind w:left="108"/>
              <w:rPr>
                <w:sz w:val="24"/>
              </w:rPr>
            </w:pPr>
            <w:r>
              <w:rPr>
                <w:sz w:val="21"/>
              </w:rPr>
              <w:t>Definición/</w:t>
            </w:r>
            <w:r>
              <w:rPr>
                <w:spacing w:val="-2"/>
                <w:sz w:val="21"/>
              </w:rPr>
              <w:t>Explicación</w:t>
            </w:r>
          </w:p>
        </w:tc>
      </w:tr>
      <w:tr w:rsidR="00E52278" w14:paraId="2F7464BB" w14:textId="77777777">
        <w:trPr>
          <w:trHeight w:val="671"/>
        </w:trPr>
        <w:tc>
          <w:tcPr>
            <w:tcW w:w="3715" w:type="dxa"/>
          </w:tcPr>
          <w:p w:rsidR="00E52278" w:rsidRDefault="00E52278" w14:paraId="1D57496C" w14:textId="77777777">
            <w:pPr>
              <w:pStyle w:val="TableParagraph"/>
              <w:ind w:left="0"/>
              <w:rPr>
                <w:rFonts w:ascii="Times New Roman"/>
              </w:rPr>
            </w:pPr>
          </w:p>
        </w:tc>
        <w:tc>
          <w:tcPr>
            <w:tcW w:w="5810" w:type="dxa"/>
          </w:tcPr>
          <w:p w:rsidR="00E52278" w:rsidRDefault="006756FE" w14:paraId="38A86696" w14:textId="77777777">
            <w:pPr>
              <w:pStyle w:val="TableParagraph"/>
              <w:ind w:left="108"/>
              <w:rPr>
                <w:sz w:val="24"/>
              </w:rPr>
            </w:pPr>
            <w:r>
              <w:rPr>
                <w:sz w:val="21"/>
              </w:rPr>
              <w:t>Unión Europea y los mercados del Espacio Económico Europeo.</w:t>
            </w:r>
          </w:p>
        </w:tc>
      </w:tr>
      <w:tr w:rsidR="00E52278" w14:paraId="3BDFC6B4" w14:textId="77777777">
        <w:trPr>
          <w:trHeight w:val="2015"/>
        </w:trPr>
        <w:tc>
          <w:tcPr>
            <w:tcW w:w="3715" w:type="dxa"/>
          </w:tcPr>
          <w:p w:rsidR="00E52278" w:rsidRDefault="006756FE" w14:paraId="1F49246A" w14:textId="77777777">
            <w:pPr>
              <w:pStyle w:val="TableParagraph"/>
              <w:rPr>
                <w:sz w:val="24"/>
              </w:rPr>
            </w:pPr>
            <w:r>
              <w:rPr>
                <w:sz w:val="21"/>
              </w:rPr>
              <w:t xml:space="preserve">2B Advice </w:t>
            </w:r>
            <w:r>
              <w:rPr>
                <w:spacing w:val="-4"/>
                <w:sz w:val="21"/>
              </w:rPr>
              <w:t>PrIME</w:t>
            </w:r>
          </w:p>
        </w:tc>
        <w:tc>
          <w:tcPr>
            <w:tcW w:w="5810" w:type="dxa"/>
          </w:tcPr>
          <w:p w:rsidR="00E52278" w:rsidRDefault="006756FE" w14:paraId="5406BF1D" w14:textId="77777777">
            <w:pPr>
              <w:pStyle w:val="TableParagraph"/>
              <w:ind w:left="108"/>
              <w:rPr>
                <w:sz w:val="24"/>
              </w:rPr>
            </w:pPr>
            <w:r>
              <w:rPr>
                <w:sz w:val="21"/>
              </w:rPr>
              <w:t xml:space="preserve">Registro de actividades de tratamiento de </w:t>
            </w:r>
            <w:r>
              <w:rPr>
                <w:spacing w:val="-2"/>
                <w:sz w:val="21"/>
              </w:rPr>
              <w:t>datos</w:t>
            </w:r>
            <w:r>
              <w:rPr>
                <w:sz w:val="21"/>
              </w:rPr>
              <w:t xml:space="preserve"> personales de GRT</w:t>
            </w:r>
            <w:r>
              <w:rPr>
                <w:spacing w:val="-2"/>
                <w:sz w:val="21"/>
              </w:rPr>
              <w:t>.</w:t>
            </w:r>
          </w:p>
          <w:p w:rsidR="00E52278" w:rsidRDefault="006756FE" w14:paraId="21DE95C0" w14:textId="77777777">
            <w:pPr>
              <w:pStyle w:val="TableParagraph"/>
              <w:spacing w:before="120"/>
              <w:ind w:left="108" w:right="19"/>
              <w:rPr>
                <w:sz w:val="24"/>
              </w:rPr>
            </w:pPr>
            <w:r>
              <w:rPr>
                <w:sz w:val="21"/>
              </w:rPr>
              <w:t xml:space="preserve">La información se introduce en este registro completando </w:t>
            </w:r>
            <w:r>
              <w:rPr>
                <w:spacing w:val="-2"/>
                <w:sz w:val="21"/>
              </w:rPr>
              <w:t>una encuesta en línea que está conectada con el software.</w:t>
            </w:r>
          </w:p>
          <w:p w:rsidR="00E52278" w:rsidRDefault="006756FE" w14:paraId="7323B4E6" w14:textId="77777777">
            <w:pPr>
              <w:pStyle w:val="TableParagraph"/>
              <w:tabs>
                <w:tab w:val="left" w:pos="909"/>
                <w:tab w:val="left" w:pos="2095"/>
                <w:tab w:val="left" w:pos="2651"/>
                <w:tab w:val="left" w:pos="3986"/>
                <w:tab w:val="left" w:pos="4557"/>
                <w:tab w:val="left" w:pos="5277"/>
              </w:tabs>
              <w:spacing w:before="120"/>
              <w:ind w:left="108" w:right="93"/>
              <w:rPr>
                <w:sz w:val="24"/>
              </w:rPr>
            </w:pPr>
            <w:r>
              <w:rPr>
                <w:spacing w:val="-4"/>
                <w:sz w:val="21"/>
              </w:rPr>
              <w:t>El</w:t>
            </w:r>
            <w:r>
              <w:rPr>
                <w:sz w:val="21"/>
              </w:rPr>
              <w:tab/>
            </w:r>
            <w:r>
              <w:rPr>
                <w:spacing w:val="-2"/>
                <w:sz w:val="21"/>
              </w:rPr>
              <w:t>registro</w:t>
            </w:r>
            <w:r>
              <w:rPr>
                <w:sz w:val="21"/>
              </w:rPr>
              <w:tab/>
            </w:r>
            <w:r>
              <w:rPr>
                <w:spacing w:val="-6"/>
                <w:sz w:val="21"/>
              </w:rPr>
              <w:t>está</w:t>
            </w:r>
            <w:r>
              <w:rPr>
                <w:sz w:val="21"/>
              </w:rPr>
              <w:tab/>
            </w:r>
            <w:r>
              <w:rPr>
                <w:spacing w:val="-2"/>
                <w:sz w:val="21"/>
              </w:rPr>
              <w:t>disponible</w:t>
            </w:r>
            <w:r>
              <w:rPr>
                <w:sz w:val="21"/>
              </w:rPr>
              <w:tab/>
            </w:r>
            <w:r>
              <w:rPr>
                <w:spacing w:val="-6"/>
                <w:sz w:val="21"/>
              </w:rPr>
              <w:t>en</w:t>
            </w:r>
            <w:r>
              <w:rPr>
                <w:sz w:val="21"/>
              </w:rPr>
              <w:tab/>
            </w:r>
            <w:r>
              <w:rPr>
                <w:spacing w:val="-4"/>
                <w:sz w:val="21"/>
              </w:rPr>
              <w:t>el</w:t>
            </w:r>
            <w:r>
              <w:rPr>
                <w:sz w:val="21"/>
              </w:rPr>
              <w:tab/>
            </w:r>
            <w:hyperlink r:id="rId9">
              <w:r>
                <w:rPr>
                  <w:color w:val="0000FF"/>
                  <w:spacing w:val="-2"/>
                  <w:sz w:val="21"/>
                </w:rPr>
                <w:t>http://2bsecure.grtgroup.com/</w:t>
              </w:r>
            </w:hyperlink>
          </w:p>
        </w:tc>
      </w:tr>
      <w:tr w:rsidR="00E52278" w14:paraId="5BEAE131" w14:textId="77777777">
        <w:trPr>
          <w:trHeight w:val="395"/>
        </w:trPr>
        <w:tc>
          <w:tcPr>
            <w:tcW w:w="3715" w:type="dxa"/>
          </w:tcPr>
          <w:p w:rsidR="00E52278" w:rsidRDefault="006756FE" w14:paraId="12D6B7A4" w14:textId="77777777">
            <w:pPr>
              <w:pStyle w:val="TableParagraph"/>
              <w:rPr>
                <w:sz w:val="24"/>
              </w:rPr>
            </w:pPr>
            <w:r>
              <w:rPr>
                <w:spacing w:val="-5"/>
                <w:sz w:val="21"/>
              </w:rPr>
              <w:t>GRT</w:t>
            </w:r>
          </w:p>
        </w:tc>
        <w:tc>
          <w:tcPr>
            <w:tcW w:w="5810" w:type="dxa"/>
          </w:tcPr>
          <w:p w:rsidR="00E52278" w:rsidRDefault="006756FE" w14:paraId="524FD6A9" w14:textId="77777777">
            <w:pPr>
              <w:pStyle w:val="TableParagraph"/>
              <w:ind w:left="108"/>
              <w:rPr>
                <w:sz w:val="24"/>
              </w:rPr>
            </w:pPr>
            <w:r>
              <w:rPr>
                <w:sz w:val="21"/>
              </w:rPr>
              <w:t xml:space="preserve">Abreviatura de </w:t>
            </w:r>
            <w:r>
              <w:rPr>
                <w:spacing w:val="-2"/>
                <w:sz w:val="21"/>
              </w:rPr>
              <w:t>«Grünenthal».</w:t>
            </w:r>
          </w:p>
        </w:tc>
      </w:tr>
    </w:tbl>
    <w:p w:rsidR="00E52278" w:rsidRDefault="00E52278" w14:paraId="5CCDFFCC" w14:textId="77777777">
      <w:pPr>
        <w:pStyle w:val="Textoindependiente"/>
        <w:spacing w:before="86"/>
        <w:rPr>
          <w:b/>
        </w:rPr>
      </w:pPr>
    </w:p>
    <w:p w:rsidR="00E52278" w:rsidRDefault="006756FE" w14:paraId="65DB1DA2" w14:textId="77777777">
      <w:pPr>
        <w:pStyle w:val="Prrafodelista"/>
        <w:numPr>
          <w:ilvl w:val="0"/>
          <w:numId w:val="7"/>
        </w:numPr>
        <w:tabs>
          <w:tab w:val="left" w:pos="1276"/>
        </w:tabs>
        <w:jc w:val="both"/>
        <w:rPr>
          <w:b/>
          <w:sz w:val="24"/>
        </w:rPr>
      </w:pPr>
      <w:bookmarkStart w:name="5_Process" w:id="4"/>
      <w:bookmarkEnd w:id="4"/>
      <w:r>
        <w:rPr>
          <w:b/>
          <w:spacing w:val="-2"/>
          <w:sz w:val="21"/>
        </w:rPr>
        <w:t>PROCESO</w:t>
      </w:r>
    </w:p>
    <w:p w:rsidR="00E52278" w:rsidRDefault="006756FE" w14:paraId="220CB89A" w14:textId="77777777">
      <w:pPr>
        <w:pStyle w:val="Ttulo2"/>
        <w:numPr>
          <w:ilvl w:val="1"/>
          <w:numId w:val="7"/>
        </w:numPr>
        <w:tabs>
          <w:tab w:val="left" w:pos="1420"/>
        </w:tabs>
        <w:spacing w:before="240"/>
      </w:pPr>
      <w:bookmarkStart w:name="5.1_Background" w:id="5"/>
      <w:bookmarkEnd w:id="5"/>
      <w:r>
        <w:rPr>
          <w:spacing w:val="-2"/>
          <w:sz w:val="21"/>
        </w:rPr>
        <w:t>Antecedentes</w:t>
      </w:r>
    </w:p>
    <w:p w:rsidR="00E52278" w:rsidRDefault="006756FE" w14:paraId="5D12C33C" w14:textId="77777777">
      <w:pPr>
        <w:spacing w:before="120"/>
        <w:ind w:left="143" w:right="702"/>
        <w:jc w:val="both"/>
        <w:rPr>
          <w:sz w:val="24"/>
        </w:rPr>
      </w:pPr>
      <w:r>
        <w:rPr>
          <w:sz w:val="21"/>
        </w:rPr>
        <w:t xml:space="preserve">Los datos personales solo pueden recopilarse para cumplir </w:t>
      </w:r>
      <w:r>
        <w:rPr>
          <w:b/>
          <w:sz w:val="21"/>
        </w:rPr>
        <w:t xml:space="preserve">fines específicos, predefinidos y legítimos </w:t>
      </w:r>
      <w:r>
        <w:rPr>
          <w:sz w:val="21"/>
        </w:rPr>
        <w:t>(por ejemplo, relacionados con las actividades comerciales de GRT). Cuando los datos personales ya no sean necesarios para alcanzar estos fines, deberán eliminarse.</w:t>
      </w:r>
    </w:p>
    <w:p w:rsidR="00E52278" w:rsidRDefault="006756FE" w14:paraId="33D8C617" w14:textId="77777777">
      <w:pPr>
        <w:pStyle w:val="Ttulo2"/>
        <w:spacing w:before="120"/>
        <w:ind w:left="143" w:right="704" w:firstLine="0"/>
      </w:pPr>
      <w:r>
        <w:rPr>
          <w:sz w:val="21"/>
        </w:rPr>
        <w:t>El almacenamiento de datos personales durante un período de tiempo indefinido, «por si acaso» se necesitan en el futuro, no está permitido por las leyes de protección de datos de la UE.</w:t>
      </w:r>
    </w:p>
    <w:p w:rsidR="00E52278" w:rsidRDefault="006756FE" w14:paraId="1E342C69" w14:textId="77777777">
      <w:pPr>
        <w:pStyle w:val="Textoindependiente"/>
        <w:ind w:left="143" w:right="701"/>
        <w:jc w:val="both"/>
      </w:pPr>
      <w:r>
        <w:rPr>
          <w:sz w:val="21"/>
        </w:rPr>
        <w:t>Los datos personales almacenados durante más tiempo del necesario están expuestos a posibles usos indebidos y amenazas para la seguridad, como ciberataques o errores internos. Cuando estas amenazas se materializan, pueden causar un daño significativo a los derechos y libertades de las personas afectadas (véase «SOP sobre el tratamiento de las violaciones de datos personales»). También pueden exponer a GRT a riesgos reputacionales, legales y financieros.</w:t>
      </w:r>
    </w:p>
    <w:p w:rsidR="00E52278" w:rsidRDefault="006756FE" w14:paraId="529879A2" w14:textId="77777777">
      <w:pPr>
        <w:pStyle w:val="Textoindependiente"/>
        <w:spacing w:before="121"/>
        <w:ind w:left="143" w:right="700"/>
        <w:jc w:val="both"/>
      </w:pPr>
      <w:r>
        <w:rPr>
          <w:sz w:val="21"/>
        </w:rPr>
        <w:t xml:space="preserve">En la medida en que las leyes aplicables no definan normas sobre la limitación del almacenamiento para una actividad de tratamiento concreta, GRT debe establecer sus propios periodos de conservación de datos basándose en </w:t>
      </w:r>
      <w:r>
        <w:rPr>
          <w:spacing w:val="-2"/>
          <w:sz w:val="21"/>
        </w:rPr>
        <w:t>motivos</w:t>
      </w:r>
      <w:r>
        <w:rPr>
          <w:sz w:val="21"/>
        </w:rPr>
        <w:t xml:space="preserve"> justificados</w:t>
      </w:r>
      <w:r>
        <w:rPr>
          <w:spacing w:val="-2"/>
          <w:sz w:val="21"/>
        </w:rPr>
        <w:t>.</w:t>
      </w:r>
    </w:p>
    <w:p w:rsidR="00E52278" w:rsidRDefault="006756FE" w14:paraId="3E7F0C40" w14:textId="77777777">
      <w:pPr>
        <w:pStyle w:val="Textoindependiente"/>
        <w:ind w:left="143" w:right="702"/>
        <w:jc w:val="both"/>
      </w:pPr>
      <w:r>
        <w:rPr>
          <w:sz w:val="21"/>
        </w:rPr>
        <w:t>Como empresa farmacéutica dedicada a la investigación, GRT trata datos personales de un gran número de personas, como profesionales sanitarios, pacientes o empleados. La definición y la aplicación efectiva de los períodos de conservación de datos tienen por objeto garantizar la protección adecuada de los derechos de privacidad de estas personas.</w:t>
      </w:r>
    </w:p>
    <w:p w:rsidR="00E52278" w:rsidRDefault="006756FE" w14:paraId="2B05C945" w14:textId="77777777">
      <w:pPr>
        <w:pStyle w:val="Textoindependiente"/>
        <w:ind w:left="143" w:right="702"/>
        <w:jc w:val="both"/>
      </w:pPr>
      <w:r>
        <w:rPr>
          <w:sz w:val="21"/>
        </w:rPr>
        <w:t>Si bien todas las áreas funcionales deben observar y aplicar continuamente las rutinas de eliminación de datos personales, GRT ha organizado además una «Semana de inventario de datos personales» para facilitar la identificación y eliminación de datos personales. En particular, esta semana debería servir para:</w:t>
      </w:r>
    </w:p>
    <w:p w:rsidR="00E52278" w:rsidRDefault="006756FE" w14:paraId="180723A0" w14:textId="77777777">
      <w:pPr>
        <w:pStyle w:val="Prrafodelista"/>
        <w:numPr>
          <w:ilvl w:val="0"/>
          <w:numId w:val="5"/>
        </w:numPr>
        <w:tabs>
          <w:tab w:val="left" w:pos="861"/>
        </w:tabs>
        <w:spacing w:before="120"/>
        <w:ind w:left="861" w:hanging="358"/>
        <w:jc w:val="both"/>
        <w:rPr>
          <w:sz w:val="24"/>
        </w:rPr>
      </w:pPr>
      <w:r>
        <w:rPr>
          <w:b/>
          <w:sz w:val="21"/>
        </w:rPr>
        <w:t xml:space="preserve">Identificar </w:t>
      </w:r>
      <w:r>
        <w:rPr>
          <w:sz w:val="21"/>
        </w:rPr>
        <w:t xml:space="preserve">los principales conjuntos de datos personales tratados por cada </w:t>
      </w:r>
      <w:r>
        <w:rPr>
          <w:spacing w:val="-4"/>
          <w:sz w:val="21"/>
        </w:rPr>
        <w:t xml:space="preserve">área </w:t>
      </w:r>
      <w:r>
        <w:rPr>
          <w:sz w:val="21"/>
        </w:rPr>
        <w:t>funcional.</w:t>
      </w:r>
    </w:p>
    <w:p w:rsidR="00E52278" w:rsidRDefault="006756FE" w14:paraId="64EE7682" w14:textId="77777777">
      <w:pPr>
        <w:pStyle w:val="Prrafodelista"/>
        <w:numPr>
          <w:ilvl w:val="0"/>
          <w:numId w:val="5"/>
        </w:numPr>
        <w:tabs>
          <w:tab w:val="left" w:pos="861"/>
          <w:tab w:val="left" w:pos="863"/>
        </w:tabs>
        <w:spacing w:before="120"/>
        <w:ind w:right="701"/>
        <w:jc w:val="both"/>
        <w:rPr>
          <w:sz w:val="24"/>
        </w:rPr>
      </w:pPr>
      <w:r>
        <w:rPr>
          <w:b/>
          <w:sz w:val="21"/>
        </w:rPr>
        <w:t xml:space="preserve">Evaluar </w:t>
      </w:r>
      <w:r>
        <w:rPr>
          <w:sz w:val="21"/>
        </w:rPr>
        <w:t xml:space="preserve">si los datos en cuestión siguen siendo necesarios para alcanzar los fines iniciales para los que fueron recopilados o si existe la obligación legal de </w:t>
      </w:r>
      <w:r>
        <w:rPr>
          <w:spacing w:val="-4"/>
          <w:sz w:val="21"/>
        </w:rPr>
        <w:t>conservarlos.</w:t>
      </w:r>
    </w:p>
    <w:p w:rsidR="00E52278" w:rsidRDefault="006756FE" w14:paraId="2B453AB6" w14:textId="77777777">
      <w:pPr>
        <w:pStyle w:val="Prrafodelista"/>
        <w:numPr>
          <w:ilvl w:val="0"/>
          <w:numId w:val="5"/>
        </w:numPr>
        <w:tabs>
          <w:tab w:val="left" w:pos="861"/>
          <w:tab w:val="left" w:pos="863"/>
        </w:tabs>
        <w:spacing w:before="120"/>
        <w:ind w:right="704"/>
        <w:jc w:val="both"/>
        <w:rPr>
          <w:sz w:val="24"/>
        </w:rPr>
      </w:pPr>
      <w:r>
        <w:rPr>
          <w:sz w:val="21"/>
        </w:rPr>
        <w:t xml:space="preserve">Poner en marcha </w:t>
      </w:r>
      <w:r>
        <w:rPr>
          <w:b/>
          <w:sz w:val="21"/>
        </w:rPr>
        <w:t xml:space="preserve">la eliminación </w:t>
      </w:r>
      <w:r>
        <w:rPr>
          <w:sz w:val="21"/>
        </w:rPr>
        <w:t>segura de los datos personales que ya no sean necesarios para alcanzar estos fines cuando su conservación no sea exigida por la ley.</w:t>
      </w:r>
    </w:p>
    <w:p w:rsidR="00E52278" w:rsidRDefault="00E52278" w14:paraId="19EA17A9" w14:textId="77777777">
      <w:pPr>
        <w:pStyle w:val="Prrafodelista"/>
        <w:jc w:val="both"/>
        <w:rPr>
          <w:sz w:val="24"/>
        </w:rPr>
        <w:sectPr w:rsidR="00E52278">
          <w:pgSz w:w="11910" w:h="16850" w:orient="portrait"/>
          <w:pgMar w:top="1040" w:right="708" w:bottom="280" w:left="1275" w:header="787" w:footer="0" w:gutter="0"/>
          <w:cols w:space="708"/>
        </w:sectPr>
      </w:pPr>
    </w:p>
    <w:p w:rsidR="00E52278" w:rsidRDefault="00E52278" w14:paraId="449A6312" w14:textId="77777777">
      <w:pPr>
        <w:pStyle w:val="Textoindependiente"/>
        <w:spacing w:before="98"/>
      </w:pPr>
    </w:p>
    <w:p w:rsidR="00E52278" w:rsidRDefault="006756FE" w14:paraId="71D7779D" w14:textId="77777777">
      <w:pPr>
        <w:pStyle w:val="Ttulo2"/>
        <w:numPr>
          <w:ilvl w:val="1"/>
          <w:numId w:val="7"/>
        </w:numPr>
        <w:tabs>
          <w:tab w:val="left" w:pos="1420"/>
        </w:tabs>
      </w:pPr>
      <w:bookmarkStart w:name="5.2_Identification_of_Personal_Data" w:id="6"/>
      <w:bookmarkEnd w:id="6"/>
      <w:r>
        <w:rPr>
          <w:sz w:val="21"/>
        </w:rPr>
        <w:t xml:space="preserve">Identificación de </w:t>
      </w:r>
      <w:r>
        <w:rPr>
          <w:spacing w:val="-4"/>
          <w:sz w:val="21"/>
        </w:rPr>
        <w:t xml:space="preserve">datos </w:t>
      </w:r>
      <w:r>
        <w:rPr>
          <w:sz w:val="21"/>
        </w:rPr>
        <w:t>personales</w:t>
      </w:r>
    </w:p>
    <w:p w:rsidR="00E52278" w:rsidRDefault="006756FE" w14:paraId="7214A636" w14:textId="77777777">
      <w:pPr>
        <w:pStyle w:val="Textoindependiente"/>
        <w:ind w:left="143" w:right="702"/>
        <w:jc w:val="both"/>
      </w:pPr>
      <w:r>
        <w:rPr>
          <w:sz w:val="21"/>
        </w:rPr>
        <w:t>Los requisitos de eliminación de datos, regulados por este SOP, se aplican únicamente a los datos personales. Los datos no personales, como los indicadores empresariales, la información financiera o los datos totalmente anonimizados, no se ven afectados por este SOP.</w:t>
      </w:r>
    </w:p>
    <w:p w:rsidR="00E52278" w:rsidRDefault="006756FE" w14:paraId="1D396047" w14:textId="77777777">
      <w:pPr>
        <w:spacing w:before="120"/>
        <w:ind w:left="143" w:right="702"/>
        <w:jc w:val="both"/>
        <w:rPr>
          <w:sz w:val="24"/>
        </w:rPr>
      </w:pPr>
      <w:r>
        <w:rPr>
          <w:sz w:val="21"/>
        </w:rPr>
        <w:t xml:space="preserve">«Datos personales» se refiere a </w:t>
      </w:r>
      <w:r>
        <w:rPr>
          <w:b/>
          <w:sz w:val="21"/>
        </w:rPr>
        <w:t>cualquier información relacionada con una persona física identificada o identificable</w:t>
      </w:r>
      <w:r>
        <w:rPr>
          <w:sz w:val="21"/>
        </w:rPr>
        <w:t xml:space="preserve">. El término «cualquier información» debe entenderse literalmente y se refiere a </w:t>
      </w:r>
      <w:r>
        <w:rPr>
          <w:b/>
          <w:sz w:val="21"/>
        </w:rPr>
        <w:t xml:space="preserve">todo tipo de datos </w:t>
      </w:r>
      <w:r>
        <w:rPr>
          <w:sz w:val="21"/>
        </w:rPr>
        <w:t>que puedan vincularse a una persona.</w:t>
      </w:r>
    </w:p>
    <w:p w:rsidR="00E52278" w:rsidRDefault="006756FE" w14:paraId="3D2F449B" w14:textId="77777777">
      <w:pPr>
        <w:pStyle w:val="Textoindependiente"/>
        <w:ind w:left="143"/>
        <w:jc w:val="both"/>
      </w:pPr>
      <w:r>
        <w:rPr>
          <w:sz w:val="21"/>
        </w:rPr>
        <w:t xml:space="preserve">Algunos ejemplos de datos personales </w:t>
      </w:r>
      <w:r>
        <w:rPr>
          <w:spacing w:val="-4"/>
          <w:sz w:val="21"/>
        </w:rPr>
        <w:t>son:</w:t>
      </w:r>
    </w:p>
    <w:p w:rsidR="00E52278" w:rsidRDefault="006756FE" w14:paraId="5967CCB8" w14:textId="77777777">
      <w:pPr>
        <w:pStyle w:val="Prrafodelista"/>
        <w:numPr>
          <w:ilvl w:val="0"/>
          <w:numId w:val="6"/>
        </w:numPr>
        <w:tabs>
          <w:tab w:val="left" w:pos="863"/>
        </w:tabs>
        <w:spacing w:before="134" w:line="223" w:lineRule="auto"/>
        <w:ind w:right="700"/>
        <w:rPr>
          <w:sz w:val="24"/>
        </w:rPr>
      </w:pPr>
      <w:r>
        <w:rPr>
          <w:sz w:val="21"/>
        </w:rPr>
        <w:t>Nombre, edad, profesión, cargo en la empresa, datos de contacto personales o profesionales, datos relativos a la salud, etc.</w:t>
      </w:r>
    </w:p>
    <w:p w:rsidR="00E52278" w:rsidRDefault="006756FE" w14:paraId="7E258396" w14:textId="77777777">
      <w:pPr>
        <w:pStyle w:val="Prrafodelista"/>
        <w:numPr>
          <w:ilvl w:val="0"/>
          <w:numId w:val="6"/>
        </w:numPr>
        <w:tabs>
          <w:tab w:val="left" w:pos="862"/>
        </w:tabs>
        <w:spacing w:before="123"/>
        <w:ind w:left="862" w:hanging="359"/>
        <w:rPr>
          <w:sz w:val="24"/>
        </w:rPr>
      </w:pPr>
      <w:r>
        <w:rPr>
          <w:sz w:val="21"/>
        </w:rPr>
        <w:t xml:space="preserve">Imágenes o grabaciones de vídeo/audio en las que se puede </w:t>
      </w:r>
      <w:r>
        <w:rPr>
          <w:spacing w:val="-2"/>
          <w:sz w:val="21"/>
        </w:rPr>
        <w:t xml:space="preserve">identificar </w:t>
      </w:r>
      <w:r>
        <w:rPr>
          <w:sz w:val="21"/>
        </w:rPr>
        <w:t>a una persona.</w:t>
      </w:r>
    </w:p>
    <w:p w:rsidR="00E52278" w:rsidRDefault="006756FE" w14:paraId="0035FC0B" w14:textId="77777777">
      <w:pPr>
        <w:pStyle w:val="Prrafodelista"/>
        <w:numPr>
          <w:ilvl w:val="0"/>
          <w:numId w:val="6"/>
        </w:numPr>
        <w:tabs>
          <w:tab w:val="left" w:pos="862"/>
        </w:tabs>
        <w:spacing w:before="99"/>
        <w:ind w:left="862" w:hanging="359"/>
        <w:rPr>
          <w:sz w:val="24"/>
        </w:rPr>
      </w:pPr>
      <w:r>
        <w:rPr>
          <w:sz w:val="21"/>
        </w:rPr>
        <w:t xml:space="preserve">Declaraciones u opiniones proporcionadas por una </w:t>
      </w:r>
      <w:r>
        <w:rPr>
          <w:spacing w:val="-2"/>
          <w:sz w:val="21"/>
        </w:rPr>
        <w:t>persona</w:t>
      </w:r>
    </w:p>
    <w:p w:rsidR="00E52278" w:rsidRDefault="006756FE" w14:paraId="3212F0DD" w14:textId="77777777">
      <w:pPr>
        <w:pStyle w:val="Prrafodelista"/>
        <w:numPr>
          <w:ilvl w:val="0"/>
          <w:numId w:val="6"/>
        </w:numPr>
        <w:tabs>
          <w:tab w:val="left" w:pos="862"/>
        </w:tabs>
        <w:spacing w:before="99"/>
        <w:ind w:left="862" w:hanging="359"/>
        <w:rPr>
          <w:sz w:val="24"/>
        </w:rPr>
      </w:pPr>
      <w:r>
        <w:rPr>
          <w:spacing w:val="-4"/>
          <w:sz w:val="21"/>
        </w:rPr>
        <w:t xml:space="preserve">Datos </w:t>
      </w:r>
      <w:r>
        <w:rPr>
          <w:sz w:val="21"/>
        </w:rPr>
        <w:t>personales disponibles públicamente</w:t>
      </w:r>
    </w:p>
    <w:p w:rsidR="00E52278" w:rsidRDefault="006756FE" w14:paraId="1BAF10FA" w14:textId="77777777">
      <w:pPr>
        <w:pStyle w:val="Prrafodelista"/>
        <w:numPr>
          <w:ilvl w:val="0"/>
          <w:numId w:val="6"/>
        </w:numPr>
        <w:tabs>
          <w:tab w:val="left" w:pos="863"/>
        </w:tabs>
        <w:spacing w:before="113" w:line="223" w:lineRule="auto"/>
        <w:ind w:right="703"/>
        <w:rPr>
          <w:sz w:val="24"/>
        </w:rPr>
      </w:pPr>
      <w:r>
        <w:rPr>
          <w:sz w:val="21"/>
        </w:rPr>
        <w:t>Datos personales seudonimizados (por ejemplo, datos «codificados con clave» que solo pueden vincularse a identificadores indirectos de una persona física, como el número de identificación de un paciente o la dirección IP).</w:t>
      </w:r>
    </w:p>
    <w:p w:rsidR="00E52278" w:rsidRDefault="006756FE" w14:paraId="262AFBA6" w14:textId="77777777">
      <w:pPr>
        <w:pStyle w:val="Ttulo2"/>
        <w:spacing w:before="121"/>
        <w:ind w:left="143" w:right="702" w:firstLine="0"/>
      </w:pPr>
      <w:r>
        <w:rPr>
          <w:sz w:val="21"/>
        </w:rPr>
        <w:t>Todos los tipos de datos personales tratados en el contexto de las actividades de GRT, independientemente de la sensibilidad o criticidad de dichos datos, entran en el ámbito de aplicación de la «Semana del inventario de datos personales» y del presente procedimiento operativo estándar.</w:t>
      </w:r>
    </w:p>
    <w:p w:rsidR="00E52278" w:rsidRDefault="006756FE" w14:paraId="5A04C4F4" w14:textId="77777777">
      <w:pPr>
        <w:pStyle w:val="Textoindependiente"/>
        <w:ind w:left="143" w:right="703"/>
        <w:jc w:val="both"/>
      </w:pPr>
      <w:r>
        <w:rPr>
          <w:sz w:val="21"/>
        </w:rPr>
        <w:t>Estos datos pueden estar almacenados en sistemas, herramientas, servidores, dispositivos locales (como computadoras portátiles, teléfonos móviles o memorias USB), bandejas de entrada de correo electrónico, plataformas de chat, archivos físicos, cuadernos, etc.</w:t>
      </w:r>
    </w:p>
    <w:p w:rsidR="00E52278" w:rsidRDefault="00E52278" w14:paraId="0404A095" w14:textId="77777777">
      <w:pPr>
        <w:pStyle w:val="Textoindependiente"/>
        <w:spacing w:before="0"/>
      </w:pPr>
    </w:p>
    <w:p w:rsidR="00E52278" w:rsidRDefault="00E52278" w14:paraId="409122BC" w14:textId="77777777">
      <w:pPr>
        <w:pStyle w:val="Textoindependiente"/>
        <w:spacing w:before="84"/>
      </w:pPr>
    </w:p>
    <w:p w:rsidR="00E52278" w:rsidRDefault="006756FE" w14:paraId="1AEE5F64" w14:textId="77777777">
      <w:pPr>
        <w:pStyle w:val="Ttulo2"/>
        <w:numPr>
          <w:ilvl w:val="1"/>
          <w:numId w:val="7"/>
        </w:numPr>
        <w:tabs>
          <w:tab w:val="left" w:pos="1420"/>
        </w:tabs>
        <w:ind w:right="1324"/>
      </w:pPr>
      <w:bookmarkStart w:name="5.3_Assessment_of_whether_the_Personal_D" w:id="7"/>
      <w:bookmarkEnd w:id="7"/>
      <w:r>
        <w:rPr>
          <w:sz w:val="21"/>
        </w:rPr>
        <w:t xml:space="preserve">Evaluación de si los datos personales deben eliminarse y </w:t>
      </w:r>
      <w:r>
        <w:rPr>
          <w:spacing w:val="-4"/>
          <w:sz w:val="21"/>
        </w:rPr>
        <w:t>cuándo</w:t>
      </w:r>
    </w:p>
    <w:p w:rsidR="00E52278" w:rsidRDefault="006756FE" w14:paraId="45CE31AE" w14:textId="77777777">
      <w:pPr>
        <w:pStyle w:val="Prrafodelista"/>
        <w:numPr>
          <w:ilvl w:val="2"/>
          <w:numId w:val="7"/>
        </w:numPr>
        <w:tabs>
          <w:tab w:val="left" w:pos="1561"/>
        </w:tabs>
        <w:spacing w:before="120"/>
        <w:ind w:hanging="1418"/>
        <w:rPr>
          <w:b/>
          <w:sz w:val="24"/>
        </w:rPr>
      </w:pPr>
      <w:bookmarkStart w:name="5.3.1_Identification_of_Data_Retention_P" w:id="8"/>
      <w:bookmarkEnd w:id="8"/>
      <w:r>
        <w:rPr>
          <w:b/>
          <w:sz w:val="21"/>
        </w:rPr>
        <w:t xml:space="preserve">Identificación de </w:t>
      </w:r>
      <w:r>
        <w:rPr>
          <w:b/>
          <w:spacing w:val="-2"/>
          <w:sz w:val="21"/>
        </w:rPr>
        <w:t xml:space="preserve">los periodos </w:t>
      </w:r>
      <w:r>
        <w:rPr>
          <w:b/>
          <w:sz w:val="21"/>
        </w:rPr>
        <w:t>de conservación de los datos</w:t>
      </w:r>
    </w:p>
    <w:p w:rsidR="00E52278" w:rsidRDefault="006756FE" w14:paraId="1254BC73" w14:textId="77777777">
      <w:pPr>
        <w:pStyle w:val="Textoindependiente"/>
        <w:ind w:left="143" w:right="639"/>
      </w:pPr>
      <w:r>
        <w:rPr>
          <w:sz w:val="21"/>
        </w:rPr>
        <w:t>El periodo durante el cual se pueden tratar los datos personales se determina generalmente por dos factores acumulativos:</w:t>
      </w:r>
    </w:p>
    <w:p w:rsidR="00E52278" w:rsidRDefault="006756FE" w14:paraId="57CE5241" w14:textId="77777777">
      <w:pPr>
        <w:pStyle w:val="Prrafodelista"/>
        <w:numPr>
          <w:ilvl w:val="3"/>
          <w:numId w:val="7"/>
        </w:numPr>
        <w:tabs>
          <w:tab w:val="left" w:pos="929"/>
        </w:tabs>
        <w:spacing w:before="120"/>
        <w:ind w:left="929" w:hanging="359"/>
        <w:rPr>
          <w:sz w:val="24"/>
        </w:rPr>
      </w:pPr>
      <w:r>
        <w:rPr>
          <w:b/>
          <w:sz w:val="21"/>
        </w:rPr>
        <w:t xml:space="preserve">Los fines iniciales </w:t>
      </w:r>
      <w:r>
        <w:rPr>
          <w:sz w:val="21"/>
        </w:rPr>
        <w:t xml:space="preserve">para los que se recopilaron los datos personales, </w:t>
      </w:r>
      <w:r>
        <w:rPr>
          <w:spacing w:val="-5"/>
          <w:sz w:val="21"/>
        </w:rPr>
        <w:t>y</w:t>
      </w:r>
    </w:p>
    <w:p w:rsidR="00E52278" w:rsidRDefault="006756FE" w14:paraId="21367696" w14:textId="77777777">
      <w:pPr>
        <w:pStyle w:val="Prrafodelista"/>
        <w:numPr>
          <w:ilvl w:val="3"/>
          <w:numId w:val="7"/>
        </w:numPr>
        <w:tabs>
          <w:tab w:val="left" w:pos="930"/>
        </w:tabs>
        <w:spacing w:before="120"/>
        <w:ind w:right="704"/>
        <w:rPr>
          <w:sz w:val="24"/>
        </w:rPr>
      </w:pPr>
      <w:r>
        <w:rPr>
          <w:sz w:val="21"/>
        </w:rPr>
        <w:t xml:space="preserve">Cualquier </w:t>
      </w:r>
      <w:r>
        <w:rPr>
          <w:b/>
          <w:sz w:val="21"/>
        </w:rPr>
        <w:t xml:space="preserve">requisito legal o reglamentario aplicable </w:t>
      </w:r>
      <w:r>
        <w:rPr>
          <w:sz w:val="21"/>
        </w:rPr>
        <w:t xml:space="preserve">para la conservación de </w:t>
      </w:r>
      <w:r>
        <w:rPr>
          <w:spacing w:val="-4"/>
          <w:sz w:val="21"/>
        </w:rPr>
        <w:t>los datos</w:t>
      </w:r>
      <w:r>
        <w:rPr>
          <w:sz w:val="21"/>
        </w:rPr>
        <w:t xml:space="preserve"> personales</w:t>
      </w:r>
    </w:p>
    <w:p w:rsidR="00E52278" w:rsidRDefault="006756FE" w14:paraId="41700C58" w14:textId="77777777">
      <w:pPr>
        <w:pStyle w:val="Textoindependiente"/>
        <w:ind w:left="143" w:right="701"/>
        <w:jc w:val="both"/>
      </w:pPr>
      <w:r>
        <w:rPr>
          <w:sz w:val="21"/>
        </w:rPr>
        <w:t>Los datos personales solo pueden conservarse y tratarse en la medida en que sean necesarios para cumplir los fines iniciales para los que fueron recopilados, a menos que exista una base jurídica u obligación de conservar los datos más allá de dichos fines. Cuando las leyes aplicables no definan normas sobre la limitación del almacenamiento, GRT deberá establecer sus propios períodos de conservación de datos basándose en motivos justificados. Esta norma se aplica a todo tipo de actividades relacionadas con los datos personales.</w:t>
      </w:r>
    </w:p>
    <w:p w:rsidR="00E52278" w:rsidRDefault="006756FE" w14:paraId="02965A1F" w14:textId="77777777">
      <w:pPr>
        <w:pStyle w:val="Textoindependiente"/>
        <w:ind w:left="143" w:right="702"/>
        <w:jc w:val="both"/>
      </w:pPr>
      <w:r>
        <w:rPr>
          <w:sz w:val="21"/>
        </w:rPr>
        <w:t>Los períodos de conservación de datos deben definirse y documentarse siempre en el registro de actividades de tratamiento de GRT «2B Advice PrIME», antes de que comience dicha actividad, de conformidad con el procedimiento operativo estándar sobre el «Tratamiento de datos personales».</w:t>
      </w:r>
    </w:p>
    <w:p w:rsidR="00E52278" w:rsidRDefault="00E52278" w14:paraId="5D0C1C0B" w14:textId="77777777">
      <w:pPr>
        <w:pStyle w:val="Textoindependiente"/>
        <w:jc w:val="both"/>
        <w:sectPr w:rsidR="00E52278">
          <w:pgSz w:w="11910" w:h="16850" w:orient="portrait"/>
          <w:pgMar w:top="1040" w:right="708" w:bottom="280" w:left="1275" w:header="787" w:footer="0" w:gutter="0"/>
          <w:cols w:space="708"/>
        </w:sectPr>
      </w:pPr>
    </w:p>
    <w:p w:rsidR="00E52278" w:rsidRDefault="00E52278" w14:paraId="349CC876" w14:textId="77777777">
      <w:pPr>
        <w:pStyle w:val="Textoindependiente"/>
        <w:spacing w:before="98"/>
      </w:pPr>
    </w:p>
    <w:p w:rsidR="00E52278" w:rsidRDefault="006756FE" w14:paraId="7DC32803" w14:textId="77777777">
      <w:pPr>
        <w:pStyle w:val="Ttulo2"/>
        <w:numPr>
          <w:ilvl w:val="2"/>
          <w:numId w:val="7"/>
        </w:numPr>
        <w:tabs>
          <w:tab w:val="left" w:pos="1561"/>
        </w:tabs>
        <w:ind w:hanging="1418"/>
      </w:pPr>
      <w:bookmarkStart w:name="5.3.2_Handling_of_expired_Data_Retention" w:id="9"/>
      <w:bookmarkEnd w:id="9"/>
      <w:r>
        <w:rPr>
          <w:sz w:val="21"/>
        </w:rPr>
        <w:t xml:space="preserve">Tratamiento de </w:t>
      </w:r>
      <w:r>
        <w:rPr>
          <w:spacing w:val="-2"/>
          <w:sz w:val="21"/>
        </w:rPr>
        <w:t xml:space="preserve">los periodos </w:t>
      </w:r>
      <w:r>
        <w:rPr>
          <w:sz w:val="21"/>
        </w:rPr>
        <w:t>de conservación de datos caducados</w:t>
      </w:r>
    </w:p>
    <w:p w:rsidR="00E52278" w:rsidRDefault="006756FE" w14:paraId="42E2F06D" w14:textId="77777777">
      <w:pPr>
        <w:pStyle w:val="Textoindependiente"/>
        <w:ind w:left="143" w:right="703"/>
        <w:jc w:val="both"/>
      </w:pPr>
      <w:r>
        <w:rPr>
          <w:sz w:val="21"/>
        </w:rPr>
        <w:t>Una vez que expiran los períodos de retención de datos predefinidos, se deben eliminar todos los datos personales en cuestión. El proceso de eliminación implica el borrado de todas las copias que contienen datos personales, ya sean archivos digitales o copias impresas, de los sistemas activos y de respaldo.</w:t>
      </w:r>
    </w:p>
    <w:p w:rsidR="00E52278" w:rsidRDefault="006756FE" w14:paraId="172E70D3" w14:textId="77777777">
      <w:pPr>
        <w:pStyle w:val="Textoindependiente"/>
        <w:ind w:left="143" w:right="702"/>
        <w:jc w:val="both"/>
      </w:pPr>
      <w:r>
        <w:rPr>
          <w:sz w:val="21"/>
        </w:rPr>
        <w:t>Cuando los datos no puedan borrarse de inmediato, se debe definir un plan de prioridad de eliminación que determine los datos personales que deben eliminarse con mayor prioridad. El factor clave de dicho plan debe ser siempre el potencial daño a los derechos de privacidad de las personas afectadas.</w:t>
      </w:r>
    </w:p>
    <w:p w:rsidR="00E52278" w:rsidRDefault="006756FE" w14:paraId="6BAAFF5A" w14:textId="77777777">
      <w:pPr>
        <w:ind w:left="143" w:right="702"/>
        <w:jc w:val="both"/>
        <w:rPr>
          <w:sz w:val="24"/>
        </w:rPr>
      </w:pPr>
      <w:r>
        <w:rPr>
          <w:sz w:val="21"/>
        </w:rPr>
        <w:t xml:space="preserve">El plan de prioridad de eliminación debe definirse con la ayuda de </w:t>
      </w:r>
      <w:r>
        <w:rPr>
          <w:i/>
          <w:sz w:val="21"/>
        </w:rPr>
        <w:t xml:space="preserve">la </w:t>
      </w:r>
      <w:r>
        <w:rPr>
          <w:sz w:val="21"/>
        </w:rPr>
        <w:t>«</w:t>
      </w:r>
      <w:r>
        <w:rPr>
          <w:i/>
          <w:sz w:val="21"/>
        </w:rPr>
        <w:t xml:space="preserve">Herramienta de clasificación de datos personales de </w:t>
      </w:r>
      <w:r>
        <w:rPr>
          <w:sz w:val="21"/>
        </w:rPr>
        <w:t>GRT», teniendo en cuenta los siguientes criterios:</w:t>
      </w:r>
    </w:p>
    <w:p w:rsidR="00E52278" w:rsidRDefault="00E52278" w14:paraId="1A132273" w14:textId="77777777">
      <w:pPr>
        <w:pStyle w:val="Textoindependiente"/>
        <w:spacing w:before="14"/>
      </w:pPr>
    </w:p>
    <w:p w:rsidR="00E52278" w:rsidRDefault="006756FE" w14:paraId="6B1D47E7" w14:textId="77777777">
      <w:pPr>
        <w:pStyle w:val="Prrafodelista"/>
        <w:numPr>
          <w:ilvl w:val="0"/>
          <w:numId w:val="4"/>
        </w:numPr>
        <w:tabs>
          <w:tab w:val="left" w:pos="851"/>
        </w:tabs>
        <w:spacing w:line="223" w:lineRule="auto"/>
        <w:ind w:right="702"/>
        <w:jc w:val="both"/>
        <w:rPr>
          <w:sz w:val="24"/>
        </w:rPr>
      </w:pPr>
      <w:r>
        <w:rPr>
          <w:b/>
          <w:sz w:val="21"/>
        </w:rPr>
        <w:t xml:space="preserve">La naturaleza de los datos personales </w:t>
      </w:r>
      <w:r>
        <w:rPr>
          <w:sz w:val="21"/>
        </w:rPr>
        <w:t>(si se trata de datos sensibles, como las categorías especiales de datos personales).</w:t>
      </w:r>
    </w:p>
    <w:p w:rsidR="00E52278" w:rsidRDefault="006756FE" w14:paraId="5D5C569D" w14:textId="77777777">
      <w:pPr>
        <w:pStyle w:val="Prrafodelista"/>
        <w:numPr>
          <w:ilvl w:val="0"/>
          <w:numId w:val="4"/>
        </w:numPr>
        <w:tabs>
          <w:tab w:val="left" w:pos="851"/>
        </w:tabs>
        <w:spacing w:before="138" w:line="223" w:lineRule="auto"/>
        <w:ind w:right="705"/>
        <w:jc w:val="both"/>
        <w:rPr>
          <w:sz w:val="24"/>
        </w:rPr>
      </w:pPr>
      <w:r>
        <w:rPr>
          <w:sz w:val="21"/>
        </w:rPr>
        <w:t xml:space="preserve">Los </w:t>
      </w:r>
      <w:r>
        <w:rPr>
          <w:b/>
          <w:sz w:val="21"/>
        </w:rPr>
        <w:t xml:space="preserve">tipos de interesados </w:t>
      </w:r>
      <w:r>
        <w:rPr>
          <w:sz w:val="21"/>
        </w:rPr>
        <w:t>afectados por la actividad de tratamiento (por ejemplo, si se considera que se encuentran en una situación vulnerable, como los niños).</w:t>
      </w:r>
    </w:p>
    <w:p w:rsidR="00E52278" w:rsidRDefault="006756FE" w14:paraId="3A739BE1" w14:textId="77777777">
      <w:pPr>
        <w:pStyle w:val="Prrafodelista"/>
        <w:numPr>
          <w:ilvl w:val="0"/>
          <w:numId w:val="4"/>
        </w:numPr>
        <w:tabs>
          <w:tab w:val="left" w:pos="851"/>
        </w:tabs>
        <w:spacing w:before="135" w:line="223" w:lineRule="auto"/>
        <w:ind w:right="705"/>
        <w:jc w:val="both"/>
        <w:rPr>
          <w:sz w:val="24"/>
        </w:rPr>
      </w:pPr>
      <w:r>
        <w:rPr>
          <w:sz w:val="21"/>
        </w:rPr>
        <w:t xml:space="preserve">Las </w:t>
      </w:r>
      <w:r>
        <w:rPr>
          <w:b/>
          <w:sz w:val="21"/>
        </w:rPr>
        <w:t xml:space="preserve">características de la actividad de tratamiento </w:t>
      </w:r>
      <w:r>
        <w:rPr>
          <w:sz w:val="21"/>
        </w:rPr>
        <w:t>(por ejemplo, si ya no existe base legal para el tratamiento de los datos).</w:t>
      </w:r>
    </w:p>
    <w:p w:rsidR="00E52278" w:rsidRDefault="006756FE" w14:paraId="002FCE39" w14:textId="77777777">
      <w:pPr>
        <w:pStyle w:val="Prrafodelista"/>
        <w:numPr>
          <w:ilvl w:val="0"/>
          <w:numId w:val="4"/>
        </w:numPr>
        <w:tabs>
          <w:tab w:val="left" w:pos="851"/>
        </w:tabs>
        <w:spacing w:before="131" w:line="230" w:lineRule="auto"/>
        <w:ind w:right="705"/>
        <w:jc w:val="both"/>
        <w:rPr>
          <w:sz w:val="24"/>
        </w:rPr>
      </w:pPr>
      <w:r>
        <w:rPr>
          <w:sz w:val="21"/>
        </w:rPr>
        <w:t xml:space="preserve">El </w:t>
      </w:r>
      <w:r>
        <w:rPr>
          <w:b/>
          <w:sz w:val="21"/>
        </w:rPr>
        <w:t xml:space="preserve">entorno normativo </w:t>
      </w:r>
      <w:r>
        <w:rPr>
          <w:sz w:val="21"/>
        </w:rPr>
        <w:t>(por ejemplo, si la actividad de tratamiento se refiere a aspectos que los reguladores consideran altamente intrusivos, como el seguimiento del comportamiento en línea o el uso de datos personales para actividades de elaboración de perfiles o predicción).</w:t>
      </w:r>
    </w:p>
    <w:p w:rsidR="00E52278" w:rsidRDefault="006756FE" w14:paraId="45071F1F" w14:textId="77777777">
      <w:pPr>
        <w:pStyle w:val="Prrafodelista"/>
        <w:numPr>
          <w:ilvl w:val="0"/>
          <w:numId w:val="4"/>
        </w:numPr>
        <w:tabs>
          <w:tab w:val="left" w:pos="851"/>
        </w:tabs>
        <w:spacing w:before="132" w:line="230" w:lineRule="auto"/>
        <w:ind w:right="703"/>
        <w:jc w:val="both"/>
        <w:rPr>
          <w:sz w:val="24"/>
        </w:rPr>
      </w:pPr>
      <w:r>
        <w:rPr>
          <w:b/>
          <w:sz w:val="21"/>
        </w:rPr>
        <w:t xml:space="preserve">La accesibilidad de los datos </w:t>
      </w:r>
      <w:r>
        <w:rPr>
          <w:sz w:val="21"/>
        </w:rPr>
        <w:t>(por ejemplo, si los datos están disponibles para un gran número de personas, forman parte de un sistema de archivo o si las personas solo pueden ser identificadas a través de identificadores indirectos, como datos personales seudonimizados).</w:t>
      </w:r>
    </w:p>
    <w:p w:rsidR="00E52278" w:rsidRDefault="006756FE" w14:paraId="3D41CDDE" w14:textId="77777777">
      <w:pPr>
        <w:pStyle w:val="Prrafodelista"/>
        <w:numPr>
          <w:ilvl w:val="0"/>
          <w:numId w:val="4"/>
        </w:numPr>
        <w:tabs>
          <w:tab w:val="left" w:pos="851"/>
        </w:tabs>
        <w:spacing w:before="138" w:line="223" w:lineRule="auto"/>
        <w:ind w:right="704"/>
        <w:jc w:val="both"/>
        <w:rPr>
          <w:sz w:val="24"/>
        </w:rPr>
      </w:pPr>
      <w:r>
        <w:rPr>
          <w:b/>
          <w:sz w:val="21"/>
        </w:rPr>
        <w:t xml:space="preserve">La ubicación de los datos personales </w:t>
      </w:r>
      <w:r>
        <w:rPr>
          <w:sz w:val="21"/>
        </w:rPr>
        <w:t>(por ejemplo, si los datos personales se encuentran en un tercer país fuera de la Unión Europea o del Espacio Económico Europeo).</w:t>
      </w:r>
    </w:p>
    <w:p w:rsidR="00E52278" w:rsidRDefault="00E52278" w14:paraId="20838B34" w14:textId="77777777">
      <w:pPr>
        <w:pStyle w:val="Textoindependiente"/>
        <w:spacing w:before="243"/>
      </w:pPr>
    </w:p>
    <w:p w:rsidR="00E52278" w:rsidRDefault="006756FE" w14:paraId="717FFD4A" w14:textId="77777777">
      <w:pPr>
        <w:pStyle w:val="Textoindependiente"/>
        <w:spacing w:before="0"/>
        <w:ind w:left="143"/>
        <w:jc w:val="both"/>
      </w:pPr>
      <w:r>
        <w:rPr>
          <w:sz w:val="21"/>
        </w:rPr>
        <w:t xml:space="preserve">A continuación, la herramienta aconsejará sobre el nivel de prioridad de eliminación y las medidas que deben </w:t>
      </w:r>
      <w:r>
        <w:rPr>
          <w:spacing w:val="-2"/>
          <w:sz w:val="21"/>
        </w:rPr>
        <w:t>tomarse:</w:t>
      </w:r>
    </w:p>
    <w:p w:rsidR="00E52278" w:rsidRDefault="00E52278" w14:paraId="5624F0F3" w14:textId="77777777">
      <w:pPr>
        <w:pStyle w:val="Textoindependiente"/>
        <w:spacing w:before="46"/>
        <w:rPr>
          <w:sz w:val="20"/>
        </w:rPr>
      </w:pPr>
    </w:p>
    <w:tbl>
      <w:tblPr>
        <w:tblStyle w:val="TableNormal"/>
        <w:tblW w:w="0" w:type="auto"/>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494"/>
        <w:gridCol w:w="6574"/>
      </w:tblGrid>
      <w:tr w:rsidR="00E52278" w14:paraId="5B288CF6" w14:textId="77777777">
        <w:trPr>
          <w:trHeight w:val="278"/>
        </w:trPr>
        <w:tc>
          <w:tcPr>
            <w:tcW w:w="2494" w:type="dxa"/>
            <w:shd w:val="clear" w:color="auto" w:fill="A8D08D"/>
          </w:tcPr>
          <w:p w:rsidR="00E52278" w:rsidRDefault="006756FE" w14:paraId="623C77DC" w14:textId="77777777">
            <w:pPr>
              <w:pStyle w:val="TableParagraph"/>
              <w:spacing w:before="2" w:line="255" w:lineRule="exact"/>
              <w:ind w:left="326"/>
              <w:rPr>
                <w:b/>
                <w:sz w:val="24"/>
              </w:rPr>
            </w:pPr>
            <w:r>
              <w:rPr>
                <w:b/>
                <w:spacing w:val="-2"/>
                <w:sz w:val="21"/>
              </w:rPr>
              <w:t xml:space="preserve">Prioridad de </w:t>
            </w:r>
            <w:r>
              <w:rPr>
                <w:b/>
                <w:sz w:val="21"/>
              </w:rPr>
              <w:t>eliminación</w:t>
            </w:r>
          </w:p>
        </w:tc>
        <w:tc>
          <w:tcPr>
            <w:tcW w:w="6574" w:type="dxa"/>
            <w:shd w:val="clear" w:color="auto" w:fill="A8D08D"/>
          </w:tcPr>
          <w:p w:rsidR="00E52278" w:rsidRDefault="006756FE" w14:paraId="44CF2E1B" w14:textId="77777777">
            <w:pPr>
              <w:pStyle w:val="TableParagraph"/>
              <w:spacing w:before="2" w:line="255" w:lineRule="exact"/>
              <w:ind w:left="3"/>
              <w:jc w:val="center"/>
              <w:rPr>
                <w:b/>
                <w:sz w:val="24"/>
              </w:rPr>
            </w:pPr>
            <w:r>
              <w:rPr>
                <w:b/>
                <w:spacing w:val="-2"/>
                <w:sz w:val="21"/>
              </w:rPr>
              <w:t>Acción</w:t>
            </w:r>
          </w:p>
        </w:tc>
      </w:tr>
      <w:tr w:rsidR="00E52278" w14:paraId="27B646E6" w14:textId="77777777">
        <w:trPr>
          <w:trHeight w:val="827"/>
        </w:trPr>
        <w:tc>
          <w:tcPr>
            <w:tcW w:w="2494" w:type="dxa"/>
          </w:tcPr>
          <w:p w:rsidR="00E52278" w:rsidRDefault="00E52278" w14:paraId="3DB49A53" w14:textId="77777777">
            <w:pPr>
              <w:pStyle w:val="TableParagraph"/>
              <w:ind w:left="0"/>
              <w:rPr>
                <w:sz w:val="24"/>
              </w:rPr>
            </w:pPr>
          </w:p>
          <w:p w:rsidR="00E52278" w:rsidRDefault="006756FE" w14:paraId="54913DA4" w14:textId="77777777">
            <w:pPr>
              <w:pStyle w:val="TableParagraph"/>
              <w:rPr>
                <w:sz w:val="24"/>
              </w:rPr>
            </w:pPr>
            <w:r>
              <w:rPr>
                <w:sz w:val="21"/>
              </w:rPr>
              <w:t xml:space="preserve">Baja </w:t>
            </w:r>
            <w:r>
              <w:rPr>
                <w:spacing w:val="-2"/>
                <w:sz w:val="21"/>
              </w:rPr>
              <w:t>prioridad</w:t>
            </w:r>
          </w:p>
        </w:tc>
        <w:tc>
          <w:tcPr>
            <w:tcW w:w="6574" w:type="dxa"/>
          </w:tcPr>
          <w:p w:rsidR="00E52278" w:rsidRDefault="006756FE" w14:paraId="62F68E19" w14:textId="77777777">
            <w:pPr>
              <w:pStyle w:val="TableParagraph"/>
              <w:spacing w:line="270" w:lineRule="atLeast"/>
              <w:ind w:right="346"/>
              <w:jc w:val="both"/>
              <w:rPr>
                <w:b/>
                <w:sz w:val="24"/>
              </w:rPr>
            </w:pPr>
            <w:r>
              <w:rPr>
                <w:sz w:val="21"/>
              </w:rPr>
              <w:t xml:space="preserve">Los datos deben eliminarse sin demora injustificada, pero en cualquier caso </w:t>
            </w:r>
            <w:r>
              <w:rPr>
                <w:b/>
                <w:sz w:val="21"/>
              </w:rPr>
              <w:t>a más tardar dieciocho meses después de que expiren los períodos de conservación.</w:t>
            </w:r>
          </w:p>
        </w:tc>
      </w:tr>
      <w:tr w:rsidR="00E52278" w14:paraId="4D4CC718" w14:textId="77777777">
        <w:trPr>
          <w:trHeight w:val="827"/>
        </w:trPr>
        <w:tc>
          <w:tcPr>
            <w:tcW w:w="2494" w:type="dxa"/>
          </w:tcPr>
          <w:p w:rsidR="00E52278" w:rsidRDefault="006756FE" w14:paraId="16CABC06" w14:textId="77777777">
            <w:pPr>
              <w:pStyle w:val="TableParagraph"/>
              <w:spacing w:before="276"/>
              <w:rPr>
                <w:sz w:val="24"/>
              </w:rPr>
            </w:pPr>
            <w:r>
              <w:rPr>
                <w:spacing w:val="-2"/>
                <w:sz w:val="21"/>
              </w:rPr>
              <w:t xml:space="preserve">Prioridad </w:t>
            </w:r>
            <w:r>
              <w:rPr>
                <w:sz w:val="21"/>
              </w:rPr>
              <w:t>media</w:t>
            </w:r>
          </w:p>
        </w:tc>
        <w:tc>
          <w:tcPr>
            <w:tcW w:w="6574" w:type="dxa"/>
          </w:tcPr>
          <w:p w:rsidR="00E52278" w:rsidRDefault="006756FE" w14:paraId="7A9BFD2E" w14:textId="77777777">
            <w:pPr>
              <w:pStyle w:val="TableParagraph"/>
              <w:spacing w:line="270" w:lineRule="atLeast"/>
              <w:ind w:right="155"/>
              <w:rPr>
                <w:b/>
                <w:sz w:val="24"/>
              </w:rPr>
            </w:pPr>
            <w:r>
              <w:rPr>
                <w:sz w:val="21"/>
              </w:rPr>
              <w:t xml:space="preserve">Los datos deben eliminarse sin demora injustificada, pero en cualquier caso </w:t>
            </w:r>
            <w:r>
              <w:rPr>
                <w:b/>
                <w:sz w:val="21"/>
              </w:rPr>
              <w:t>a más tardar doce meses después de que expiren los períodos de retención.</w:t>
            </w:r>
          </w:p>
        </w:tc>
      </w:tr>
      <w:tr w:rsidR="00E52278" w14:paraId="5D498EB8" w14:textId="77777777">
        <w:trPr>
          <w:trHeight w:val="826"/>
        </w:trPr>
        <w:tc>
          <w:tcPr>
            <w:tcW w:w="2494" w:type="dxa"/>
          </w:tcPr>
          <w:p w:rsidR="00E52278" w:rsidRDefault="006756FE" w14:paraId="157EC774" w14:textId="77777777">
            <w:pPr>
              <w:pStyle w:val="TableParagraph"/>
              <w:spacing w:before="275"/>
              <w:rPr>
                <w:sz w:val="24"/>
              </w:rPr>
            </w:pPr>
            <w:r>
              <w:rPr>
                <w:sz w:val="21"/>
              </w:rPr>
              <w:t xml:space="preserve">Alta </w:t>
            </w:r>
            <w:r>
              <w:rPr>
                <w:spacing w:val="-2"/>
                <w:sz w:val="21"/>
              </w:rPr>
              <w:t>prioridad</w:t>
            </w:r>
          </w:p>
        </w:tc>
        <w:tc>
          <w:tcPr>
            <w:tcW w:w="6574" w:type="dxa"/>
          </w:tcPr>
          <w:p w:rsidR="00E52278" w:rsidRDefault="006756FE" w14:paraId="3BB6578D" w14:textId="77777777">
            <w:pPr>
              <w:pStyle w:val="TableParagraph"/>
              <w:spacing w:line="276" w:lineRule="exact"/>
              <w:ind w:right="155"/>
              <w:rPr>
                <w:b/>
                <w:sz w:val="24"/>
              </w:rPr>
            </w:pPr>
            <w:r>
              <w:rPr>
                <w:sz w:val="21"/>
              </w:rPr>
              <w:t xml:space="preserve">Los datos deben eliminarse </w:t>
            </w:r>
            <w:r>
              <w:rPr>
                <w:b/>
                <w:sz w:val="21"/>
              </w:rPr>
              <w:t xml:space="preserve">sin demora injustificada, </w:t>
            </w:r>
            <w:r>
              <w:rPr>
                <w:sz w:val="21"/>
              </w:rPr>
              <w:t xml:space="preserve">pero en cualquier caso </w:t>
            </w:r>
            <w:r>
              <w:rPr>
                <w:b/>
                <w:sz w:val="21"/>
              </w:rPr>
              <w:t>a más tardar seis meses después de que expiren los períodos de retención.</w:t>
            </w:r>
          </w:p>
        </w:tc>
      </w:tr>
    </w:tbl>
    <w:p w:rsidR="00E52278" w:rsidRDefault="00E52278" w14:paraId="69F50228" w14:textId="77777777">
      <w:pPr>
        <w:pStyle w:val="Textoindependiente"/>
        <w:spacing w:before="121"/>
      </w:pPr>
    </w:p>
    <w:p w:rsidR="00E52278" w:rsidRDefault="006756FE" w14:paraId="7760A626" w14:textId="77777777">
      <w:pPr>
        <w:pStyle w:val="Textoindependiente"/>
        <w:spacing w:before="1"/>
        <w:ind w:left="143" w:right="703"/>
        <w:jc w:val="both"/>
      </w:pPr>
      <w:r>
        <w:rPr>
          <w:sz w:val="21"/>
        </w:rPr>
        <w:t>Cabe señalar que los datos personales tratados por terceros siguiendo las instrucciones de GRT (por ejemplo, los proveedores de servicios que actúan como encargados del tratamiento) también deben eliminarse, de conformidad con los plazos de conservación de datos aplicables.</w:t>
      </w:r>
    </w:p>
    <w:p w:rsidR="00E52278" w:rsidRDefault="006756FE" w14:paraId="51D2F60A" w14:textId="77777777">
      <w:pPr>
        <w:pStyle w:val="Textoindependiente"/>
        <w:ind w:left="143" w:right="702"/>
        <w:jc w:val="both"/>
      </w:pPr>
      <w:r>
        <w:rPr>
          <w:sz w:val="21"/>
        </w:rPr>
        <w:t>La definición de la prioridad de eliminación, así como el proceso de eliminación en sí, deben ser coordinados por el empleado/departamento correspondiente que procesa los datos, con la ayuda del coordinador de protección de datos designado y el equipo de privacidad de datos.</w:t>
      </w:r>
    </w:p>
    <w:p w:rsidR="00E52278" w:rsidRDefault="00E52278" w14:paraId="2535CFC0" w14:textId="77777777">
      <w:pPr>
        <w:pStyle w:val="Textoindependiente"/>
        <w:jc w:val="both"/>
        <w:sectPr w:rsidR="00E52278">
          <w:pgSz w:w="11910" w:h="16850" w:orient="portrait"/>
          <w:pgMar w:top="1040" w:right="708" w:bottom="280" w:left="1275" w:header="787" w:footer="0" w:gutter="0"/>
          <w:cols w:space="708"/>
        </w:sectPr>
      </w:pPr>
    </w:p>
    <w:p w:rsidR="00E52278" w:rsidRDefault="00E52278" w14:paraId="1C6FC4BB" w14:textId="77777777">
      <w:pPr>
        <w:pStyle w:val="Textoindependiente"/>
        <w:spacing w:before="0"/>
      </w:pPr>
    </w:p>
    <w:p w:rsidR="00E52278" w:rsidRDefault="00E52278" w14:paraId="06DAF475" w14:textId="77777777">
      <w:pPr>
        <w:pStyle w:val="Textoindependiente"/>
        <w:spacing w:before="0"/>
      </w:pPr>
    </w:p>
    <w:p w:rsidR="00E52278" w:rsidRDefault="00E52278" w14:paraId="18E0DAAA" w14:textId="77777777">
      <w:pPr>
        <w:pStyle w:val="Textoindependiente"/>
        <w:spacing w:before="62"/>
      </w:pPr>
    </w:p>
    <w:p w:rsidR="00E52278" w:rsidRDefault="006756FE" w14:paraId="05315B0B" w14:textId="77777777">
      <w:pPr>
        <w:pStyle w:val="Ttulo2"/>
        <w:numPr>
          <w:ilvl w:val="1"/>
          <w:numId w:val="7"/>
        </w:numPr>
        <w:tabs>
          <w:tab w:val="left" w:pos="1420"/>
        </w:tabs>
      </w:pPr>
      <w:bookmarkStart w:name="5.4_Deletion_of_Personal_Data" w:id="10"/>
      <w:bookmarkEnd w:id="10"/>
      <w:r>
        <w:rPr>
          <w:sz w:val="21"/>
        </w:rPr>
        <w:t xml:space="preserve">Eliminación de </w:t>
      </w:r>
      <w:r>
        <w:rPr>
          <w:spacing w:val="-4"/>
          <w:sz w:val="21"/>
        </w:rPr>
        <w:t xml:space="preserve">datos </w:t>
      </w:r>
      <w:r>
        <w:rPr>
          <w:sz w:val="21"/>
        </w:rPr>
        <w:t>personales</w:t>
      </w:r>
    </w:p>
    <w:p w:rsidR="00E52278" w:rsidRDefault="006756FE" w14:paraId="517E59B6" w14:textId="77777777">
      <w:pPr>
        <w:pStyle w:val="Textoindependiente"/>
        <w:ind w:left="143" w:right="702"/>
        <w:jc w:val="both"/>
      </w:pPr>
      <w:r>
        <w:rPr>
          <w:sz w:val="21"/>
        </w:rPr>
        <w:t>Los datos personales deben eliminarse de forma rápida y segura. Los datos deben eliminarse por completo (también de los archivos de respaldo o en papel, con la ayuda de personal especializado, como el de TI).</w:t>
      </w:r>
    </w:p>
    <w:p w:rsidR="00E52278" w:rsidRDefault="00E52278" w14:paraId="7744751A" w14:textId="77777777">
      <w:pPr>
        <w:pStyle w:val="Textoindependiente"/>
        <w:spacing w:before="0"/>
      </w:pPr>
    </w:p>
    <w:p w:rsidR="00E52278" w:rsidRDefault="006756FE" w14:paraId="184D6C6B" w14:textId="77777777">
      <w:pPr>
        <w:pStyle w:val="Textoindependiente"/>
        <w:spacing w:before="0"/>
        <w:ind w:left="143" w:right="702"/>
        <w:jc w:val="both"/>
      </w:pPr>
      <w:r>
        <w:rPr>
          <w:sz w:val="21"/>
        </w:rPr>
        <w:t xml:space="preserve">Cuando se eliminen datos personales, el empleado/departamento que coordine el proceso, con la ayuda del coordinador de protección de datos y el equipo de privacidad de datos, deberá documentar los siguientes detalles en la </w:t>
      </w:r>
      <w:r>
        <w:rPr>
          <w:i/>
          <w:sz w:val="21"/>
        </w:rPr>
        <w:t>«Plantilla para la eliminación de datos personales</w:t>
      </w:r>
      <w:r>
        <w:rPr>
          <w:sz w:val="21"/>
        </w:rPr>
        <w:t>»:</w:t>
      </w:r>
    </w:p>
    <w:p w:rsidR="00E52278" w:rsidRDefault="00E52278" w14:paraId="6D451604" w14:textId="77777777">
      <w:pPr>
        <w:pStyle w:val="Textoindependiente"/>
        <w:spacing w:before="14"/>
      </w:pPr>
    </w:p>
    <w:p w:rsidR="00E52278" w:rsidRDefault="006756FE" w14:paraId="0E6A8CCB" w14:textId="77777777">
      <w:pPr>
        <w:pStyle w:val="Prrafodelista"/>
        <w:numPr>
          <w:ilvl w:val="0"/>
          <w:numId w:val="3"/>
        </w:numPr>
        <w:tabs>
          <w:tab w:val="left" w:pos="863"/>
        </w:tabs>
        <w:spacing w:line="223" w:lineRule="auto"/>
        <w:ind w:right="794"/>
        <w:rPr>
          <w:sz w:val="24"/>
        </w:rPr>
      </w:pPr>
      <w:r>
        <w:rPr>
          <w:sz w:val="21"/>
        </w:rPr>
        <w:t>Descripción de los datos personales eliminados, incluidos los tipos de interesados y las categorías de datos en cuestión.</w:t>
      </w:r>
    </w:p>
    <w:p w:rsidR="00E52278" w:rsidRDefault="006756FE" w14:paraId="28A80C9B" w14:textId="77777777">
      <w:pPr>
        <w:pStyle w:val="Prrafodelista"/>
        <w:numPr>
          <w:ilvl w:val="0"/>
          <w:numId w:val="3"/>
        </w:numPr>
        <w:tabs>
          <w:tab w:val="left" w:pos="862"/>
        </w:tabs>
        <w:spacing w:before="123"/>
        <w:ind w:left="862" w:hanging="359"/>
        <w:rPr>
          <w:sz w:val="24"/>
        </w:rPr>
      </w:pPr>
      <w:r>
        <w:rPr>
          <w:sz w:val="21"/>
        </w:rPr>
        <w:t xml:space="preserve">Las ubicaciones o medios de almacenamiento </w:t>
      </w:r>
      <w:r>
        <w:rPr>
          <w:spacing w:val="-4"/>
          <w:sz w:val="21"/>
        </w:rPr>
        <w:t xml:space="preserve">de los que </w:t>
      </w:r>
      <w:r>
        <w:rPr>
          <w:sz w:val="21"/>
        </w:rPr>
        <w:t>se eliminan los datos personales.</w:t>
      </w:r>
    </w:p>
    <w:p w:rsidR="00E52278" w:rsidRDefault="006756FE" w14:paraId="51F86D60" w14:textId="77777777">
      <w:pPr>
        <w:pStyle w:val="Prrafodelista"/>
        <w:numPr>
          <w:ilvl w:val="0"/>
          <w:numId w:val="3"/>
        </w:numPr>
        <w:tabs>
          <w:tab w:val="left" w:pos="862"/>
        </w:tabs>
        <w:spacing w:before="99"/>
        <w:ind w:left="862" w:hanging="359"/>
        <w:rPr>
          <w:sz w:val="24"/>
        </w:rPr>
      </w:pPr>
      <w:r>
        <w:rPr>
          <w:sz w:val="21"/>
        </w:rPr>
        <w:t xml:space="preserve">Los nombres de todas las personas que participan en el </w:t>
      </w:r>
      <w:r>
        <w:rPr>
          <w:spacing w:val="-2"/>
          <w:sz w:val="21"/>
        </w:rPr>
        <w:t xml:space="preserve">proceso </w:t>
      </w:r>
      <w:r>
        <w:rPr>
          <w:sz w:val="21"/>
        </w:rPr>
        <w:t>de eliminación.</w:t>
      </w:r>
    </w:p>
    <w:p w:rsidR="00E52278" w:rsidRDefault="006756FE" w14:paraId="4288D843" w14:textId="77777777">
      <w:pPr>
        <w:pStyle w:val="Prrafodelista"/>
        <w:numPr>
          <w:ilvl w:val="0"/>
          <w:numId w:val="3"/>
        </w:numPr>
        <w:tabs>
          <w:tab w:val="left" w:pos="862"/>
        </w:tabs>
        <w:spacing w:before="99"/>
        <w:ind w:left="862" w:hanging="359"/>
        <w:rPr>
          <w:sz w:val="24"/>
        </w:rPr>
      </w:pPr>
      <w:r>
        <w:rPr>
          <w:sz w:val="21"/>
        </w:rPr>
        <w:t xml:space="preserve">La fecha en que se </w:t>
      </w:r>
      <w:r>
        <w:rPr>
          <w:spacing w:val="-2"/>
          <w:sz w:val="21"/>
        </w:rPr>
        <w:t xml:space="preserve">eliminan </w:t>
      </w:r>
      <w:r>
        <w:rPr>
          <w:sz w:val="21"/>
        </w:rPr>
        <w:t>los datos.</w:t>
      </w:r>
    </w:p>
    <w:p w:rsidR="00E52278" w:rsidRDefault="006756FE" w14:paraId="16DD5AC2" w14:textId="77777777">
      <w:pPr>
        <w:pStyle w:val="Prrafodelista"/>
        <w:numPr>
          <w:ilvl w:val="0"/>
          <w:numId w:val="3"/>
        </w:numPr>
        <w:tabs>
          <w:tab w:val="left" w:pos="862"/>
        </w:tabs>
        <w:spacing w:before="97"/>
        <w:ind w:left="862" w:hanging="359"/>
        <w:rPr>
          <w:sz w:val="24"/>
        </w:rPr>
      </w:pPr>
      <w:r>
        <w:rPr>
          <w:sz w:val="21"/>
        </w:rPr>
        <w:t xml:space="preserve">Metodología utilizada para eliminar los </w:t>
      </w:r>
      <w:r>
        <w:rPr>
          <w:spacing w:val="-4"/>
          <w:sz w:val="21"/>
        </w:rPr>
        <w:t xml:space="preserve">datos </w:t>
      </w:r>
      <w:r>
        <w:rPr>
          <w:sz w:val="21"/>
        </w:rPr>
        <w:t>personales.</w:t>
      </w:r>
    </w:p>
    <w:p w:rsidR="00E52278" w:rsidRDefault="00E52278" w14:paraId="44EF84D7" w14:textId="77777777">
      <w:pPr>
        <w:pStyle w:val="Textoindependiente"/>
        <w:spacing w:before="0"/>
      </w:pPr>
    </w:p>
    <w:p w:rsidR="00E52278" w:rsidRDefault="00E52278" w14:paraId="33C80712" w14:textId="77777777">
      <w:pPr>
        <w:pStyle w:val="Textoindependiente"/>
        <w:spacing w:before="62"/>
      </w:pPr>
    </w:p>
    <w:p w:rsidR="00E52278" w:rsidRDefault="006756FE" w14:paraId="1BC404A6" w14:textId="77777777">
      <w:pPr>
        <w:pStyle w:val="Ttulo2"/>
        <w:numPr>
          <w:ilvl w:val="1"/>
          <w:numId w:val="7"/>
        </w:numPr>
        <w:tabs>
          <w:tab w:val="left" w:pos="1420"/>
        </w:tabs>
      </w:pPr>
      <w:bookmarkStart w:name="5.5_Exceptions_to_data_retention_deadlin" w:id="11"/>
      <w:bookmarkEnd w:id="11"/>
      <w:r>
        <w:rPr>
          <w:sz w:val="21"/>
        </w:rPr>
        <w:t xml:space="preserve">Excepciones a </w:t>
      </w:r>
      <w:r>
        <w:rPr>
          <w:spacing w:val="-2"/>
          <w:sz w:val="21"/>
        </w:rPr>
        <w:t xml:space="preserve">los plazos </w:t>
      </w:r>
      <w:r>
        <w:rPr>
          <w:sz w:val="21"/>
        </w:rPr>
        <w:t>de conservación de datos.</w:t>
      </w:r>
    </w:p>
    <w:p w:rsidR="00E52278" w:rsidRDefault="006756FE" w14:paraId="49F3163E" w14:textId="77777777">
      <w:pPr>
        <w:pStyle w:val="Textoindependiente"/>
        <w:ind w:left="143" w:right="639"/>
      </w:pPr>
      <w:r>
        <w:rPr>
          <w:sz w:val="21"/>
        </w:rPr>
        <w:t>Los periodos de conservación de datos predefinidos solo pueden modificarse si lo aprueba el equipo de privacidad de datos, en los siguientes casos:</w:t>
      </w:r>
    </w:p>
    <w:p w:rsidR="00E52278" w:rsidRDefault="006756FE" w14:paraId="0DA91C5F" w14:textId="77777777">
      <w:pPr>
        <w:pStyle w:val="Prrafodelista"/>
        <w:numPr>
          <w:ilvl w:val="0"/>
          <w:numId w:val="2"/>
        </w:numPr>
        <w:tabs>
          <w:tab w:val="left" w:pos="861"/>
          <w:tab w:val="left" w:pos="863"/>
        </w:tabs>
        <w:spacing w:before="120"/>
        <w:ind w:right="706"/>
        <w:rPr>
          <w:b/>
          <w:sz w:val="24"/>
        </w:rPr>
      </w:pPr>
      <w:r>
        <w:rPr>
          <w:sz w:val="21"/>
        </w:rPr>
        <w:t xml:space="preserve">Los datos se procesan posteriormente con </w:t>
      </w:r>
      <w:r>
        <w:rPr>
          <w:b/>
          <w:sz w:val="21"/>
        </w:rPr>
        <w:t>fines de archivo de interés público, investigación científica o histórica o fines estadísticos</w:t>
      </w:r>
    </w:p>
    <w:p w:rsidR="00E52278" w:rsidRDefault="006756FE" w14:paraId="2BB225CE" w14:textId="77777777">
      <w:pPr>
        <w:pStyle w:val="Prrafodelista"/>
        <w:numPr>
          <w:ilvl w:val="0"/>
          <w:numId w:val="2"/>
        </w:numPr>
        <w:tabs>
          <w:tab w:val="left" w:pos="861"/>
          <w:tab w:val="left" w:pos="863"/>
        </w:tabs>
        <w:spacing w:before="121"/>
        <w:ind w:right="703"/>
        <w:rPr>
          <w:sz w:val="24"/>
        </w:rPr>
      </w:pPr>
      <w:r>
        <w:rPr>
          <w:sz w:val="21"/>
        </w:rPr>
        <w:t xml:space="preserve">Los datos se </w:t>
      </w:r>
      <w:r>
        <w:rPr>
          <w:b/>
          <w:sz w:val="21"/>
        </w:rPr>
        <w:t>procesan posteriormente por otros motivos definidos en la ley</w:t>
      </w:r>
      <w:r>
        <w:rPr>
          <w:sz w:val="21"/>
        </w:rPr>
        <w:t>, como la defensa o el establecimiento de reclamaciones legales, o cuando lo exija un tribunal</w:t>
      </w:r>
    </w:p>
    <w:p w:rsidR="00E52278" w:rsidRDefault="006756FE" w14:paraId="6C6119A3" w14:textId="77777777">
      <w:pPr>
        <w:pStyle w:val="Textoindependiente"/>
        <w:ind w:left="143" w:right="639"/>
      </w:pPr>
      <w:r>
        <w:rPr>
          <w:sz w:val="21"/>
        </w:rPr>
        <w:t>En cualquier caso, se deben adoptar todas las medidas técnicas y organizativas necesarias para proteger adecuadamente los datos personales.</w:t>
      </w:r>
    </w:p>
    <w:p w:rsidR="00E52278" w:rsidRDefault="006756FE" w14:paraId="64217F31" w14:textId="77777777">
      <w:pPr>
        <w:pStyle w:val="Textoindependiente"/>
        <w:ind w:left="143" w:right="639"/>
      </w:pPr>
      <w:r>
        <w:rPr>
          <w:sz w:val="21"/>
        </w:rPr>
        <w:t>Los datos personales que se hayan recopilado para un fin específico e inicial no podrán utilizarse para un fin diferente si no se cumplen los requisitos establecidos en esta sección.</w:t>
      </w:r>
    </w:p>
    <w:p w:rsidR="00E52278" w:rsidRDefault="00E52278" w14:paraId="74197A1A" w14:textId="77777777">
      <w:pPr>
        <w:pStyle w:val="Textoindependiente"/>
        <w:spacing w:before="0"/>
      </w:pPr>
    </w:p>
    <w:p w:rsidR="00E52278" w:rsidRDefault="00E52278" w14:paraId="106E2897" w14:textId="77777777">
      <w:pPr>
        <w:pStyle w:val="Textoindependiente"/>
        <w:spacing w:before="204"/>
      </w:pPr>
    </w:p>
    <w:p w:rsidR="00E52278" w:rsidRDefault="006756FE" w14:paraId="6D17E71E" w14:textId="77777777">
      <w:pPr>
        <w:pStyle w:val="Ttulo1"/>
        <w:numPr>
          <w:ilvl w:val="0"/>
          <w:numId w:val="7"/>
        </w:numPr>
        <w:tabs>
          <w:tab w:val="left" w:pos="1276"/>
        </w:tabs>
      </w:pPr>
      <w:bookmarkStart w:name="6_TEMPLATES_AND_FORMS_REQUIRED_FOR_THE_P" w:id="12"/>
      <w:bookmarkEnd w:id="12"/>
      <w:r>
        <w:rPr>
          <w:sz w:val="21"/>
        </w:rPr>
        <w:t xml:space="preserve">PLANTILLAS Y FORMULARIOS NECESARIOS PARA EL </w:t>
      </w:r>
      <w:r>
        <w:rPr>
          <w:spacing w:val="-2"/>
          <w:sz w:val="21"/>
        </w:rPr>
        <w:t>PROCESO</w:t>
      </w:r>
    </w:p>
    <w:p w:rsidR="00E52278" w:rsidRDefault="006756FE" w14:paraId="490A67ED" w14:textId="77777777">
      <w:pPr>
        <w:pStyle w:val="Prrafodelista"/>
        <w:numPr>
          <w:ilvl w:val="0"/>
          <w:numId w:val="1"/>
        </w:numPr>
        <w:tabs>
          <w:tab w:val="left" w:pos="855"/>
        </w:tabs>
        <w:spacing w:before="240"/>
        <w:ind w:left="855" w:hanging="355"/>
        <w:rPr>
          <w:sz w:val="24"/>
        </w:rPr>
      </w:pPr>
      <w:r>
        <w:rPr>
          <w:spacing w:val="-4"/>
          <w:sz w:val="21"/>
        </w:rPr>
        <w:t xml:space="preserve">Herramienta </w:t>
      </w:r>
      <w:r>
        <w:rPr>
          <w:sz w:val="21"/>
        </w:rPr>
        <w:t>de clasificación de datos personales de GRT</w:t>
      </w:r>
    </w:p>
    <w:p w:rsidR="00E52278" w:rsidRDefault="006756FE" w14:paraId="2F41DD05" w14:textId="77777777">
      <w:pPr>
        <w:pStyle w:val="Prrafodelista"/>
        <w:numPr>
          <w:ilvl w:val="0"/>
          <w:numId w:val="1"/>
        </w:numPr>
        <w:tabs>
          <w:tab w:val="left" w:pos="855"/>
        </w:tabs>
        <w:spacing w:before="99"/>
        <w:ind w:left="855" w:hanging="355"/>
        <w:rPr>
          <w:sz w:val="24"/>
        </w:rPr>
      </w:pPr>
      <w:r>
        <w:rPr>
          <w:sz w:val="21"/>
        </w:rPr>
        <w:t xml:space="preserve">Directrices para </w:t>
      </w:r>
      <w:r>
        <w:rPr>
          <w:spacing w:val="-4"/>
          <w:sz w:val="21"/>
        </w:rPr>
        <w:t xml:space="preserve">la Semana </w:t>
      </w:r>
      <w:r>
        <w:rPr>
          <w:sz w:val="21"/>
        </w:rPr>
        <w:t>del Inventario de Datos de GRT</w:t>
      </w:r>
    </w:p>
    <w:p w:rsidR="00E52278" w:rsidRDefault="006756FE" w14:paraId="0CC8CE34" w14:textId="77777777">
      <w:pPr>
        <w:pStyle w:val="Prrafodelista"/>
        <w:numPr>
          <w:ilvl w:val="0"/>
          <w:numId w:val="1"/>
        </w:numPr>
        <w:tabs>
          <w:tab w:val="left" w:pos="855"/>
        </w:tabs>
        <w:spacing w:before="98"/>
        <w:ind w:left="855" w:hanging="355"/>
        <w:rPr>
          <w:sz w:val="24"/>
        </w:rPr>
      </w:pPr>
      <w:r>
        <w:rPr>
          <w:sz w:val="21"/>
        </w:rPr>
        <w:t xml:space="preserve">Hoja informativa sobre </w:t>
      </w:r>
      <w:r>
        <w:rPr>
          <w:spacing w:val="-4"/>
          <w:sz w:val="21"/>
        </w:rPr>
        <w:t xml:space="preserve">la semana </w:t>
      </w:r>
      <w:r>
        <w:rPr>
          <w:sz w:val="21"/>
        </w:rPr>
        <w:t>del inventario de datos personales</w:t>
      </w:r>
    </w:p>
    <w:p w:rsidR="00E52278" w:rsidRDefault="006756FE" w14:paraId="0E9B5C03" w14:textId="77777777">
      <w:pPr>
        <w:pStyle w:val="Prrafodelista"/>
        <w:numPr>
          <w:ilvl w:val="0"/>
          <w:numId w:val="1"/>
        </w:numPr>
        <w:tabs>
          <w:tab w:val="left" w:pos="855"/>
        </w:tabs>
        <w:spacing w:before="99"/>
        <w:ind w:left="855" w:hanging="355"/>
        <w:rPr>
          <w:sz w:val="24"/>
        </w:rPr>
      </w:pPr>
      <w:r>
        <w:rPr>
          <w:sz w:val="21"/>
        </w:rPr>
        <w:t xml:space="preserve">Plantilla para la eliminación de </w:t>
      </w:r>
      <w:r>
        <w:rPr>
          <w:spacing w:val="-4"/>
          <w:sz w:val="21"/>
        </w:rPr>
        <w:t xml:space="preserve">datos </w:t>
      </w:r>
      <w:r>
        <w:rPr>
          <w:sz w:val="21"/>
        </w:rPr>
        <w:t>personales</w:t>
      </w:r>
    </w:p>
    <w:p w:rsidR="00E52278" w:rsidRDefault="00E52278" w14:paraId="79259EA0" w14:textId="77777777">
      <w:pPr>
        <w:pStyle w:val="Prrafodelista"/>
        <w:rPr>
          <w:sz w:val="24"/>
        </w:rPr>
        <w:sectPr w:rsidR="00E52278">
          <w:pgSz w:w="11910" w:h="16850" w:orient="portrait"/>
          <w:pgMar w:top="1040" w:right="708" w:bottom="280" w:left="1275" w:header="787" w:footer="0" w:gutter="0"/>
          <w:cols w:space="708"/>
        </w:sectPr>
      </w:pPr>
    </w:p>
    <w:p w:rsidR="00E52278" w:rsidRDefault="00E52278" w14:paraId="33436187" w14:textId="77777777">
      <w:pPr>
        <w:pStyle w:val="Textoindependiente"/>
        <w:spacing w:before="98"/>
      </w:pPr>
    </w:p>
    <w:p w:rsidR="00E52278" w:rsidRDefault="006756FE" w14:paraId="3B014632" w14:textId="77777777">
      <w:pPr>
        <w:pStyle w:val="Ttulo1"/>
        <w:numPr>
          <w:ilvl w:val="0"/>
          <w:numId w:val="7"/>
        </w:numPr>
        <w:tabs>
          <w:tab w:val="left" w:pos="1276"/>
        </w:tabs>
      </w:pPr>
      <w:bookmarkStart w:name="7_REFERENCES" w:id="13"/>
      <w:bookmarkEnd w:id="13"/>
      <w:r>
        <w:rPr>
          <w:spacing w:val="-2"/>
          <w:sz w:val="21"/>
        </w:rPr>
        <w:t>REFERENCIAS</w:t>
      </w:r>
    </w:p>
    <w:p w:rsidR="00E52278" w:rsidRDefault="006756FE" w14:paraId="3AEEB0F3" w14:textId="77777777">
      <w:pPr>
        <w:spacing w:before="240"/>
        <w:ind w:left="1276"/>
        <w:rPr>
          <w:sz w:val="24"/>
        </w:rPr>
      </w:pPr>
      <w:r>
        <w:rPr>
          <w:spacing w:val="-5"/>
          <w:sz w:val="21"/>
        </w:rPr>
        <w:t>./.</w:t>
      </w:r>
    </w:p>
    <w:p w:rsidR="00E52278" w:rsidRDefault="00E52278" w14:paraId="72072A5F" w14:textId="77777777">
      <w:pPr>
        <w:pStyle w:val="Textoindependiente"/>
        <w:spacing w:before="84"/>
      </w:pPr>
    </w:p>
    <w:p w:rsidR="00E52278" w:rsidRDefault="006756FE" w14:paraId="17F18563" w14:textId="77777777">
      <w:pPr>
        <w:pStyle w:val="Prrafodelista"/>
        <w:numPr>
          <w:ilvl w:val="0"/>
          <w:numId w:val="7"/>
        </w:numPr>
        <w:tabs>
          <w:tab w:val="left" w:pos="1276"/>
        </w:tabs>
        <w:rPr>
          <w:b/>
          <w:sz w:val="24"/>
        </w:rPr>
      </w:pPr>
      <w:bookmarkStart w:name="8_Historical_index" w:id="14"/>
      <w:bookmarkEnd w:id="14"/>
      <w:r>
        <w:rPr>
          <w:b/>
          <w:spacing w:val="-2"/>
          <w:sz w:val="21"/>
        </w:rPr>
        <w:t xml:space="preserve">ÍNDICE </w:t>
      </w:r>
      <w:r>
        <w:rPr>
          <w:b/>
          <w:sz w:val="21"/>
        </w:rPr>
        <w:t>HISTÓRICO</w:t>
      </w:r>
    </w:p>
    <w:p w:rsidR="00E52278" w:rsidRDefault="00E52278" w14:paraId="2796D8A5" w14:textId="77777777">
      <w:pPr>
        <w:pStyle w:val="Textoindependiente"/>
        <w:spacing w:before="0"/>
        <w:rPr>
          <w:b/>
          <w:sz w:val="20"/>
        </w:rPr>
      </w:pPr>
    </w:p>
    <w:p w:rsidR="00E52278" w:rsidRDefault="00E52278" w14:paraId="6101F5D3" w14:textId="77777777">
      <w:pPr>
        <w:pStyle w:val="Textoindependiente"/>
        <w:spacing w:before="175"/>
        <w:rPr>
          <w:b/>
          <w:sz w:val="20"/>
        </w:rPr>
      </w:pPr>
    </w:p>
    <w:tbl>
      <w:tblPr>
        <w:tblStyle w:val="TableNormal"/>
        <w:tblW w:w="0" w:type="auto"/>
        <w:tblInd w:w="1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819"/>
        <w:gridCol w:w="7106"/>
      </w:tblGrid>
      <w:tr w:rsidR="00E52278" w14:paraId="23EBEB19" w14:textId="77777777">
        <w:trPr>
          <w:trHeight w:val="354"/>
        </w:trPr>
        <w:tc>
          <w:tcPr>
            <w:tcW w:w="1819" w:type="dxa"/>
          </w:tcPr>
          <w:p w:rsidR="00E52278" w:rsidRDefault="006756FE" w14:paraId="23408F39" w14:textId="77777777">
            <w:pPr>
              <w:pStyle w:val="TableParagraph"/>
              <w:spacing w:before="41"/>
              <w:ind w:left="69"/>
              <w:rPr>
                <w:b/>
                <w:sz w:val="24"/>
              </w:rPr>
            </w:pPr>
            <w:r>
              <w:rPr>
                <w:b/>
                <w:spacing w:val="-5"/>
                <w:sz w:val="21"/>
              </w:rPr>
              <w:t xml:space="preserve">N.º de </w:t>
            </w:r>
            <w:r>
              <w:rPr>
                <w:b/>
                <w:sz w:val="21"/>
              </w:rPr>
              <w:t>revisión</w:t>
            </w:r>
          </w:p>
        </w:tc>
        <w:tc>
          <w:tcPr>
            <w:tcW w:w="7106" w:type="dxa"/>
          </w:tcPr>
          <w:p w:rsidR="00E52278" w:rsidRDefault="006756FE" w14:paraId="7EC342F0" w14:textId="77777777">
            <w:pPr>
              <w:pStyle w:val="TableParagraph"/>
              <w:spacing w:before="41"/>
              <w:ind w:left="69"/>
              <w:rPr>
                <w:b/>
                <w:sz w:val="24"/>
              </w:rPr>
            </w:pPr>
            <w:r>
              <w:rPr>
                <w:b/>
                <w:sz w:val="21"/>
              </w:rPr>
              <w:t xml:space="preserve">Descripción de </w:t>
            </w:r>
            <w:r>
              <w:rPr>
                <w:b/>
                <w:spacing w:val="-2"/>
                <w:sz w:val="21"/>
              </w:rPr>
              <w:t>los cambios</w:t>
            </w:r>
          </w:p>
        </w:tc>
      </w:tr>
      <w:tr w:rsidR="00E52278" w14:paraId="5D072B69" w14:textId="77777777">
        <w:trPr>
          <w:trHeight w:val="357"/>
        </w:trPr>
        <w:tc>
          <w:tcPr>
            <w:tcW w:w="1819" w:type="dxa"/>
          </w:tcPr>
          <w:p w:rsidR="00E52278" w:rsidRDefault="006756FE" w14:paraId="2CA6E5F1" w14:textId="77777777">
            <w:pPr>
              <w:pStyle w:val="TableParagraph"/>
              <w:spacing w:before="41"/>
              <w:ind w:left="69"/>
              <w:rPr>
                <w:sz w:val="24"/>
              </w:rPr>
            </w:pPr>
            <w:r>
              <w:rPr>
                <w:spacing w:val="-5"/>
                <w:sz w:val="21"/>
              </w:rPr>
              <w:t>01</w:t>
            </w:r>
          </w:p>
        </w:tc>
        <w:tc>
          <w:tcPr>
            <w:tcW w:w="7106" w:type="dxa"/>
          </w:tcPr>
          <w:p w:rsidR="00E52278" w:rsidRDefault="006756FE" w14:paraId="19D00972" w14:textId="77777777">
            <w:pPr>
              <w:pStyle w:val="TableParagraph"/>
              <w:spacing w:before="41"/>
              <w:ind w:left="69"/>
              <w:rPr>
                <w:sz w:val="24"/>
              </w:rPr>
            </w:pPr>
            <w:r>
              <w:rPr>
                <w:sz w:val="21"/>
              </w:rPr>
              <w:t xml:space="preserve">Nuevo </w:t>
            </w:r>
            <w:r>
              <w:rPr>
                <w:spacing w:val="-2"/>
                <w:sz w:val="21"/>
              </w:rPr>
              <w:t>documento</w:t>
            </w:r>
          </w:p>
        </w:tc>
      </w:tr>
    </w:tbl>
    <w:p w:rsidR="00593441" w:rsidRDefault="00593441" w14:paraId="7719428B" w14:textId="2B1295F0"/>
    <w:p w:rsidRPr="00593441" w:rsidR="00593441" w:rsidRDefault="00593441" w14:paraId="030EEDAF" w14:textId="77777777">
      <w:pPr>
        <w:rPr>
          <w:lang w:val="es-ES"/>
          <w:rPrChange w:author="Erick Mateos Molina" w:date="2025-11-12T13:50:00Z" w16du:dateUtc="2025-11-12T19:50:00Z" w:id="15">
            <w:rPr/>
          </w:rPrChange>
        </w:rPr>
      </w:pPr>
      <w:r>
        <w:br w:type="page"/>
      </w:r>
    </w:p>
    <w:p w:rsidRPr="00593441" w:rsidR="00593441" w:rsidP="564C18F7" w:rsidRDefault="00593441" w14:paraId="09B32E4B" w14:textId="77777777">
      <w:pPr>
        <w:jc w:val="both"/>
        <w:rPr>
          <w:b w:val="1"/>
          <w:bCs w:val="1"/>
          <w:color w:val="1F497D" w:themeColor="text2" w:themeTint="FF" w:themeShade="FF"/>
          <w:sz w:val="21"/>
          <w:szCs w:val="21"/>
          <w:lang w:val="es-ES"/>
          <w:rPrChange w:author="" w16du:dateUtc="2025-11-12T19:50:00Z" w:id="789764234">
            <w:rPr>
              <w:b/>
              <w:bCs/>
              <w:sz w:val="21"/>
              <w:szCs w:val="21"/>
            </w:rPr>
          </w:rPrChange>
        </w:rPr>
        <w:pPrChange w:author="Erick Mateos Molina" w:date="2025-11-12T16:09:00Z" w16du:dateUtc="2025-11-12T22:09:00Z" w:id="19">
          <w:pPr/>
        </w:pPrChange>
      </w:pPr>
      <w:r w:rsidRPr="564C18F7" w:rsidR="564C18F7">
        <w:rPr>
          <w:b w:val="1"/>
          <w:bCs w:val="1"/>
          <w:color w:val="1F497D" w:themeColor="text2" w:themeTint="FF" w:themeShade="FF"/>
          <w:sz w:val="21"/>
          <w:szCs w:val="21"/>
          <w:lang w:val="es-ES"/>
        </w:rPr>
        <w:t xml:space="preserve">9. Apéndice: México. </w:t>
      </w:r>
    </w:p>
    <w:p w:rsidR="006C378E" w:rsidP="564C18F7" w:rsidRDefault="006C378E" w14:paraId="1EDFEFFA" w14:textId="77777777">
      <w:pPr>
        <w:jc w:val="both"/>
        <w:rPr>
          <w:b w:val="1"/>
          <w:bCs w:val="1"/>
          <w:color w:val="1F497D" w:themeColor="text2" w:themeTint="FF" w:themeShade="FF"/>
          <w:sz w:val="21"/>
          <w:szCs w:val="21"/>
          <w:lang w:val="es-ES"/>
        </w:rPr>
      </w:pPr>
    </w:p>
    <w:p w:rsidRPr="00593441" w:rsidR="00593441" w:rsidP="564C18F7" w:rsidRDefault="00593441" w14:paraId="3A03B914" w14:textId="52E10DEC">
      <w:pPr>
        <w:jc w:val="both"/>
        <w:rPr>
          <w:b w:val="1"/>
          <w:bCs w:val="1"/>
          <w:color w:val="1F497D" w:themeColor="text2" w:themeTint="FF" w:themeShade="FF"/>
          <w:sz w:val="21"/>
          <w:szCs w:val="21"/>
          <w:lang w:val="es-ES"/>
          <w:rPrChange w:author="Erick Mateos Molina" w:date="2025-11-12T13:50:00Z" w16du:dateUtc="2025-11-12T19:50:00Z" w:id="379001621">
            <w:rPr>
              <w:b w:val="1"/>
              <w:bCs w:val="1"/>
              <w:sz w:val="21"/>
              <w:szCs w:val="21"/>
            </w:rPr>
          </w:rPrChange>
        </w:rPr>
        <w:pPrChange w:author="Erick Mateos Molina" w:date="2025-11-12T16:09:00Z" w16du:dateUtc="2025-11-12T22:09:00Z" w:id="26">
          <w:pPr/>
        </w:pPrChange>
      </w:pPr>
      <w:r w:rsidRPr="564C18F7" w:rsidR="564C18F7">
        <w:rPr>
          <w:b w:val="1"/>
          <w:bCs w:val="1"/>
          <w:color w:val="1F497D" w:themeColor="text2" w:themeTint="FF" w:themeShade="FF"/>
          <w:sz w:val="21"/>
          <w:szCs w:val="21"/>
          <w:lang w:val="es-ES"/>
          <w:rPrChange w:author="Erick Mateos Molina" w:date="2025-11-12T13:50:00Z" w16du:dateUtc="2025-11-12T19:50:00Z" w:id="1480307943">
            <w:rPr>
              <w:b w:val="1"/>
              <w:bCs w:val="1"/>
              <w:sz w:val="21"/>
              <w:szCs w:val="21"/>
            </w:rPr>
          </w:rPrChange>
        </w:rPr>
        <w:t xml:space="preserve">9.1 Objetivo. </w:t>
      </w:r>
    </w:p>
    <w:p w:rsidRPr="00593441" w:rsidR="00593441" w:rsidP="564C18F7" w:rsidRDefault="00593441" w14:paraId="3BE01932" w14:textId="77777777">
      <w:pPr>
        <w:jc w:val="both"/>
        <w:rPr>
          <w:color w:val="1F497D" w:themeColor="text2" w:themeTint="FF" w:themeShade="FF"/>
          <w:sz w:val="21"/>
          <w:szCs w:val="21"/>
          <w:lang w:val="es-ES"/>
        </w:rPr>
      </w:pPr>
      <w:r w:rsidRPr="564C18F7" w:rsidR="564C18F7">
        <w:rPr>
          <w:color w:val="1F497D" w:themeColor="text2" w:themeTint="FF" w:themeShade="FF"/>
          <w:sz w:val="21"/>
          <w:szCs w:val="21"/>
          <w:lang w:val="es-ES"/>
        </w:rPr>
        <w:t xml:space="preserve">El presente Apéndice tiene por objeto adaptar la Política Global que regula el procedimiento operativo estándar sobre la retención de datos personales a la normativa mexicana en materia de protección de datos personales.  </w:t>
      </w:r>
    </w:p>
    <w:p w:rsidRPr="00593441" w:rsidR="00593441" w:rsidP="564C18F7" w:rsidRDefault="00593441" w14:paraId="1F336058" w14:textId="77777777">
      <w:pPr>
        <w:widowControl w:val="1"/>
        <w:autoSpaceDE/>
        <w:autoSpaceDN/>
        <w:spacing w:line="276" w:lineRule="auto"/>
        <w:contextualSpacing w:val="1"/>
        <w:jc w:val="both"/>
        <w:rPr>
          <w:color w:val="1F497D" w:themeColor="text2" w:themeTint="FF" w:themeShade="FF"/>
          <w:sz w:val="21"/>
          <w:szCs w:val="21"/>
          <w:lang w:val="es-ES"/>
        </w:rPr>
      </w:pPr>
    </w:p>
    <w:p w:rsidRPr="00593441" w:rsidR="00593441" w:rsidP="564C18F7" w:rsidRDefault="00593441" w14:paraId="1103C6E5" w14:textId="77777777">
      <w:pPr>
        <w:pStyle w:val="Prrafodelista"/>
        <w:widowControl w:val="1"/>
        <w:numPr>
          <w:ilvl w:val="1"/>
          <w:numId w:val="8"/>
        </w:numPr>
        <w:autoSpaceDE/>
        <w:autoSpaceDN/>
        <w:spacing w:line="276" w:lineRule="auto"/>
        <w:contextualSpacing w:val="1"/>
        <w:jc w:val="both"/>
        <w:rPr>
          <w:b w:val="1"/>
          <w:bCs w:val="1"/>
          <w:color w:val="1F497D" w:themeColor="text2" w:themeTint="FF" w:themeShade="FF"/>
          <w:sz w:val="21"/>
          <w:szCs w:val="21"/>
          <w:lang w:val="es-ES"/>
        </w:rPr>
      </w:pPr>
      <w:r w:rsidRPr="564C18F7" w:rsidR="564C18F7">
        <w:rPr>
          <w:b w:val="1"/>
          <w:bCs w:val="1"/>
          <w:color w:val="1F497D" w:themeColor="text2" w:themeTint="FF" w:themeShade="FF"/>
          <w:sz w:val="21"/>
          <w:szCs w:val="21"/>
          <w:lang w:val="es-ES"/>
        </w:rPr>
        <w:t xml:space="preserve">Ámbito </w:t>
      </w:r>
    </w:p>
    <w:p w:rsidRPr="00593441" w:rsidR="00593441" w:rsidP="564C18F7" w:rsidRDefault="00593441" w14:paraId="58F1F823"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564C18F7" w:rsidR="564C18F7">
        <w:rPr>
          <w:rFonts w:ascii="Arial" w:hAnsi="Arial" w:eastAsia="Arial" w:cs="Arial"/>
          <w:color w:val="1F497D" w:themeColor="text2" w:themeTint="FF" w:themeShade="FF"/>
          <w:sz w:val="21"/>
          <w:szCs w:val="21"/>
          <w:lang w:val="es-ES" w:eastAsia="en-US"/>
        </w:rPr>
        <w:t>El presente Apéndice y los procedimientos que en él se establecen serán aplicables cuando por motivo del territorio de origen de los datos, los efectos del tratamiento o cualquier otro criterio previsto en la legislación aplicable o en el derecho internacional, resulte aplicable la normativa mexicana en materia de protección de datos personales.</w:t>
      </w:r>
    </w:p>
    <w:p w:rsidR="00593441" w:rsidP="564C18F7" w:rsidRDefault="00593441" w14:paraId="2F165C45"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593441" w:rsidR="00593441" w:rsidP="564C18F7" w:rsidRDefault="00593441" w14:paraId="55C9325A" w14:textId="54432604">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564C18F7" w:rsidR="564C18F7">
        <w:rPr>
          <w:rFonts w:ascii="Arial" w:hAnsi="Arial" w:eastAsia="Arial" w:cs="Arial"/>
          <w:color w:val="1F497D" w:themeColor="text2" w:themeTint="FF" w:themeShade="FF"/>
          <w:sz w:val="21"/>
          <w:szCs w:val="21"/>
          <w:lang w:val="es-ES" w:eastAsia="en-US"/>
        </w:rPr>
        <w:t xml:space="preserve">Este Apéndice deberá de ser complementado con las políticas locales en materia conservación y eliminación datos personales adoptadas por las filiales de GRT, en particular por </w:t>
      </w:r>
      <w:r w:rsidRPr="564C18F7" w:rsidR="564C18F7">
        <w:rPr>
          <w:rFonts w:ascii="Arial" w:hAnsi="Arial" w:eastAsia="Arial" w:cs="Arial"/>
          <w:color w:val="1F497D" w:themeColor="text2" w:themeTint="FF" w:themeShade="FF"/>
          <w:sz w:val="21"/>
          <w:szCs w:val="21"/>
          <w:lang w:val="es-ES" w:eastAsia="en-US"/>
        </w:rPr>
        <w:t>Grünenthal</w:t>
      </w:r>
      <w:r w:rsidRPr="564C18F7" w:rsidR="564C18F7">
        <w:rPr>
          <w:rFonts w:ascii="Arial" w:hAnsi="Arial" w:eastAsia="Arial" w:cs="Arial"/>
          <w:color w:val="1F497D" w:themeColor="text2" w:themeTint="FF" w:themeShade="FF"/>
          <w:sz w:val="21"/>
          <w:szCs w:val="21"/>
          <w:lang w:val="es-ES" w:eastAsia="en-US"/>
        </w:rPr>
        <w:t xml:space="preserve"> de México, S.A. de C.V., las cuales desarrollan con mayor detalle los roles, procedimientos y metodologías necesarios para garantizar el cumplimiento de la normativa mexicana. </w:t>
      </w:r>
    </w:p>
    <w:p w:rsidRPr="00593441" w:rsidR="00593441" w:rsidP="564C18F7" w:rsidRDefault="00593441" w14:paraId="229D8628"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593441" w:rsidR="00593441" w:rsidP="564C18F7" w:rsidRDefault="00593441" w14:paraId="10306FBF" w14:textId="77777777">
      <w:pPr>
        <w:pStyle w:val="Prrafodelista"/>
        <w:widowControl w:val="1"/>
        <w:numPr>
          <w:ilvl w:val="1"/>
          <w:numId w:val="8"/>
        </w:numPr>
        <w:autoSpaceDE/>
        <w:autoSpaceDN/>
        <w:spacing w:line="276" w:lineRule="auto"/>
        <w:contextualSpacing w:val="1"/>
        <w:jc w:val="both"/>
        <w:rPr>
          <w:b w:val="1"/>
          <w:bCs w:val="1"/>
          <w:color w:val="1F497D" w:themeColor="text2" w:themeTint="FF" w:themeShade="FF"/>
          <w:sz w:val="21"/>
          <w:szCs w:val="21"/>
          <w:lang w:val="es-ES"/>
        </w:rPr>
      </w:pPr>
      <w:r w:rsidRPr="564C18F7" w:rsidR="564C18F7">
        <w:rPr>
          <w:b w:val="1"/>
          <w:bCs w:val="1"/>
          <w:color w:val="1F497D" w:themeColor="text2" w:themeTint="FF" w:themeShade="FF"/>
          <w:sz w:val="21"/>
          <w:szCs w:val="21"/>
          <w:lang w:val="es-ES"/>
        </w:rPr>
        <w:t xml:space="preserve">Responsabilidad </w:t>
      </w:r>
    </w:p>
    <w:p w:rsidRPr="00593441" w:rsidR="00593441" w:rsidP="564C18F7" w:rsidRDefault="00593441" w14:paraId="2D3BA33E" w14:textId="77777777">
      <w:pPr>
        <w:jc w:val="both"/>
        <w:rPr>
          <w:color w:val="1F497D" w:themeColor="text2" w:themeTint="FF" w:themeShade="FF"/>
          <w:sz w:val="21"/>
          <w:szCs w:val="21"/>
          <w:lang w:val="es-ES"/>
        </w:rPr>
      </w:pPr>
      <w:r w:rsidRPr="564C18F7" w:rsidR="564C18F7">
        <w:rPr>
          <w:color w:val="1F497D" w:themeColor="text2" w:themeTint="FF" w:themeShade="FF"/>
          <w:sz w:val="21"/>
          <w:szCs w:val="21"/>
          <w:lang w:val="es-ES"/>
        </w:rPr>
        <w:t xml:space="preserve">Los roles, obligaciones y facultades establecidos en el segmento 3 </w:t>
      </w:r>
      <w:r w:rsidRPr="564C18F7" w:rsidR="564C18F7">
        <w:rPr>
          <w:i w:val="1"/>
          <w:iCs w:val="1"/>
          <w:color w:val="1F497D" w:themeColor="text2" w:themeTint="FF" w:themeShade="FF"/>
          <w:sz w:val="21"/>
          <w:szCs w:val="21"/>
          <w:lang w:val="es-ES"/>
          <w:rPrChange w:author="Erick Mateos Molina" w:date="2025-11-12T16:10:00Z" w16du:dateUtc="2025-11-12T22:10:00Z" w:id="311735920">
            <w:rPr>
              <w:sz w:val="21"/>
              <w:szCs w:val="21"/>
              <w:lang w:val="es-ES"/>
            </w:rPr>
          </w:rPrChange>
        </w:rPr>
        <w:t>Responsabilidades</w:t>
      </w:r>
      <w:r w:rsidRPr="564C18F7" w:rsidR="564C18F7">
        <w:rPr>
          <w:color w:val="1F497D" w:themeColor="text2" w:themeTint="FF" w:themeShade="FF"/>
          <w:sz w:val="21"/>
          <w:szCs w:val="21"/>
          <w:lang w:val="es-ES"/>
        </w:rPr>
        <w:t xml:space="preserve"> de las políticas globales son aplicables de manera íntegra en México. La única distinción es que, en lugar del Equipo Global de Privacidad de Datos, dichas funciones serán asumidas por el Equipo de Protección de Datos de la filial correspondiente.</w:t>
      </w:r>
    </w:p>
    <w:p w:rsidRPr="00593441" w:rsidR="00593441" w:rsidP="564C18F7" w:rsidRDefault="00593441" w14:paraId="63F2457B" w14:textId="77777777">
      <w:pPr>
        <w:jc w:val="both"/>
        <w:rPr>
          <w:color w:val="1F497D" w:themeColor="text2" w:themeTint="FF" w:themeShade="FF"/>
          <w:sz w:val="21"/>
          <w:szCs w:val="21"/>
          <w:lang w:val="es-ES"/>
        </w:rPr>
      </w:pPr>
    </w:p>
    <w:p w:rsidRPr="00593441" w:rsidR="00593441" w:rsidP="564C18F7" w:rsidRDefault="00593441" w14:paraId="60607638" w14:textId="64C4A06F">
      <w:pPr>
        <w:jc w:val="both"/>
        <w:rPr>
          <w:b w:val="1"/>
          <w:bCs w:val="1"/>
          <w:color w:val="1F497D" w:themeColor="text2" w:themeTint="FF" w:themeShade="FF"/>
          <w:sz w:val="21"/>
          <w:szCs w:val="21"/>
          <w:lang w:val="es-ES"/>
        </w:rPr>
      </w:pPr>
      <w:r w:rsidRPr="564C18F7" w:rsidR="564C18F7">
        <w:rPr>
          <w:b w:val="1"/>
          <w:bCs w:val="1"/>
          <w:color w:val="1F497D" w:themeColor="text2" w:themeTint="FF" w:themeShade="FF"/>
          <w:sz w:val="21"/>
          <w:szCs w:val="21"/>
          <w:lang w:val="es-ES"/>
        </w:rPr>
        <w:t>9.5 Proceso</w:t>
      </w:r>
      <w:r w:rsidRPr="564C18F7" w:rsidR="564C18F7">
        <w:rPr>
          <w:b w:val="1"/>
          <w:bCs w:val="1"/>
          <w:color w:val="1F497D" w:themeColor="text2" w:themeTint="FF" w:themeShade="FF"/>
          <w:sz w:val="21"/>
          <w:szCs w:val="21"/>
          <w:lang w:val="es-ES"/>
        </w:rPr>
        <w:t xml:space="preserve"> </w:t>
      </w:r>
    </w:p>
    <w:p w:rsidRPr="00593441" w:rsidR="00593441" w:rsidP="564C18F7" w:rsidRDefault="00593441" w14:paraId="6FA429D1" w14:textId="77777777">
      <w:pPr>
        <w:jc w:val="both"/>
        <w:rPr>
          <w:b w:val="1"/>
          <w:bCs w:val="1"/>
          <w:color w:val="1F497D" w:themeColor="text2" w:themeTint="FF" w:themeShade="FF"/>
          <w:sz w:val="21"/>
          <w:szCs w:val="21"/>
          <w:lang w:val="es-ES"/>
        </w:rPr>
      </w:pPr>
    </w:p>
    <w:p w:rsidRPr="00593441" w:rsidR="00593441" w:rsidP="564C18F7" w:rsidRDefault="00593441" w14:paraId="07E53136" w14:textId="1E14BFAA">
      <w:pPr>
        <w:jc w:val="both"/>
        <w:rPr>
          <w:b w:val="1"/>
          <w:bCs w:val="1"/>
          <w:color w:val="1F497D" w:themeColor="text2" w:themeTint="FF" w:themeShade="FF"/>
          <w:sz w:val="21"/>
          <w:szCs w:val="21"/>
          <w:lang w:val="es-ES"/>
        </w:rPr>
      </w:pPr>
      <w:r w:rsidRPr="564C18F7" w:rsidR="564C18F7">
        <w:rPr>
          <w:b w:val="1"/>
          <w:bCs w:val="1"/>
          <w:color w:val="1F497D" w:themeColor="text2" w:themeTint="FF" w:themeShade="FF"/>
          <w:sz w:val="21"/>
          <w:szCs w:val="21"/>
          <w:lang w:val="es-ES"/>
        </w:rPr>
        <w:t>9</w:t>
      </w:r>
      <w:r w:rsidRPr="564C18F7" w:rsidR="564C18F7">
        <w:rPr>
          <w:b w:val="1"/>
          <w:bCs w:val="1"/>
          <w:color w:val="1F497D" w:themeColor="text2" w:themeTint="FF" w:themeShade="FF"/>
          <w:sz w:val="21"/>
          <w:szCs w:val="21"/>
          <w:lang w:val="es-ES"/>
        </w:rPr>
        <w:t xml:space="preserve">.5.1. Antecedentes. </w:t>
      </w:r>
    </w:p>
    <w:p w:rsidRPr="00593441" w:rsidR="00593441" w:rsidP="564C18F7" w:rsidRDefault="00593441" w14:paraId="7E9DA8E0" w14:textId="301577C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r w:rsidRPr="564C18F7" w:rsidR="564C18F7">
        <w:rPr>
          <w:rFonts w:ascii="Arial" w:hAnsi="Arial" w:eastAsia="Calibri" w:cs="Arial" w:eastAsiaTheme="minorAscii"/>
          <w:color w:val="1F497D" w:themeColor="text2" w:themeTint="FF" w:themeShade="FF"/>
          <w:sz w:val="21"/>
          <w:szCs w:val="21"/>
          <w:lang w:val="es-ES" w:eastAsia="en-US"/>
        </w:rPr>
        <w:t xml:space="preserve">Lo dispuesto en el segmento 5.1 </w:t>
      </w:r>
      <w:r w:rsidRPr="564C18F7" w:rsidR="564C18F7">
        <w:rPr>
          <w:rFonts w:ascii="Arial" w:hAnsi="Arial" w:eastAsia="Calibri" w:cs="Arial" w:eastAsiaTheme="minorAscii"/>
          <w:i w:val="1"/>
          <w:iCs w:val="1"/>
          <w:color w:val="1F497D" w:themeColor="text2" w:themeTint="FF" w:themeShade="FF"/>
          <w:sz w:val="21"/>
          <w:szCs w:val="21"/>
          <w:lang w:val="es-ES" w:eastAsia="en-US"/>
          <w:rPrChange w:author="Erick Mateos Molina" w:date="2025-11-12T16:11:00Z" w16du:dateUtc="2025-11-12T22:11:00Z" w:id="1638900210">
            <w:rPr>
              <w:rFonts w:ascii="Arial" w:hAnsi="Arial" w:eastAsia="Calibri" w:cs="Arial" w:eastAsiaTheme="minorAscii"/>
              <w:sz w:val="21"/>
              <w:szCs w:val="21"/>
              <w:lang w:val="es-ES" w:eastAsia="en-US"/>
            </w:rPr>
          </w:rPrChange>
        </w:rPr>
        <w:t>Antecedentes</w:t>
      </w:r>
      <w:r w:rsidRPr="564C18F7" w:rsidR="564C18F7">
        <w:rPr>
          <w:rFonts w:ascii="Arial" w:hAnsi="Arial" w:eastAsia="Calibri" w:cs="Arial" w:eastAsiaTheme="minorAscii"/>
          <w:color w:val="1F497D" w:themeColor="text2" w:themeTint="FF" w:themeShade="FF"/>
          <w:sz w:val="21"/>
          <w:szCs w:val="21"/>
          <w:lang w:val="es-ES" w:eastAsia="en-US"/>
        </w:rPr>
        <w:t xml:space="preserve"> de las Políticas Globales es aplicable en México, ya que la prohibición de conservar información por tiempo indefinido o “por si acaso” esta también prevista en la normativa mexicana.</w:t>
      </w:r>
    </w:p>
    <w:p w:rsidRPr="00593441" w:rsidR="00593441" w:rsidP="564C18F7" w:rsidRDefault="00593441" w14:paraId="0164856D"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p>
    <w:p w:rsidRPr="00593441" w:rsidR="00593441" w:rsidP="564C18F7" w:rsidRDefault="00593441" w14:paraId="085F573B" w14:textId="3DA8F5A5">
      <w:pPr>
        <w:pStyle w:val="NormalWeb"/>
        <w:spacing w:before="0" w:beforeAutospacing="off" w:after="0" w:afterAutospacing="off"/>
        <w:jc w:val="both"/>
        <w:rPr>
          <w:rFonts w:ascii="Arial" w:hAnsi="Arial" w:eastAsia="Calibri" w:cs="Arial" w:eastAsiaTheme="minorAscii"/>
          <w:b w:val="1"/>
          <w:bCs w:val="1"/>
          <w:color w:val="1F497D" w:themeColor="text2" w:themeTint="FF" w:themeShade="FF"/>
          <w:sz w:val="21"/>
          <w:szCs w:val="21"/>
          <w:lang w:val="es-ES" w:eastAsia="en-US"/>
        </w:rPr>
      </w:pPr>
      <w:r w:rsidRPr="564C18F7" w:rsidR="564C18F7">
        <w:rPr>
          <w:rFonts w:ascii="Arial" w:hAnsi="Arial" w:eastAsia="Calibri" w:cs="Arial" w:eastAsiaTheme="minorAscii"/>
          <w:b w:val="1"/>
          <w:bCs w:val="1"/>
          <w:color w:val="1F497D" w:themeColor="text2" w:themeTint="FF" w:themeShade="FF"/>
          <w:sz w:val="21"/>
          <w:szCs w:val="21"/>
          <w:lang w:val="es-ES" w:eastAsia="en-US"/>
        </w:rPr>
        <w:t>9</w:t>
      </w:r>
      <w:r w:rsidRPr="564C18F7" w:rsidR="564C18F7">
        <w:rPr>
          <w:rFonts w:ascii="Arial" w:hAnsi="Arial" w:eastAsia="Calibri" w:cs="Arial" w:eastAsiaTheme="minorAscii"/>
          <w:b w:val="1"/>
          <w:bCs w:val="1"/>
          <w:color w:val="1F497D" w:themeColor="text2" w:themeTint="FF" w:themeShade="FF"/>
          <w:sz w:val="21"/>
          <w:szCs w:val="21"/>
          <w:lang w:val="es-ES" w:eastAsia="en-US"/>
        </w:rPr>
        <w:t xml:space="preserve">.5.2.  Identificación de datos personales. </w:t>
      </w:r>
    </w:p>
    <w:p w:rsidRPr="00593441" w:rsidR="00593441" w:rsidP="564C18F7" w:rsidRDefault="00593441" w14:paraId="4CA2217D" w14:textId="17CE6169">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r w:rsidRPr="564C18F7" w:rsidR="564C18F7">
        <w:rPr>
          <w:rFonts w:ascii="Arial" w:hAnsi="Arial" w:eastAsia="Calibri" w:cs="Arial" w:eastAsiaTheme="minorAscii"/>
          <w:color w:val="1F497D" w:themeColor="text2" w:themeTint="FF" w:themeShade="FF"/>
          <w:sz w:val="21"/>
          <w:szCs w:val="21"/>
          <w:lang w:val="es-ES" w:eastAsia="en-US"/>
        </w:rPr>
        <w:t xml:space="preserve">El procedimiento y lo establecido en el segmento 5.2. </w:t>
      </w:r>
      <w:r w:rsidRPr="564C18F7" w:rsidR="564C18F7">
        <w:rPr>
          <w:rFonts w:ascii="Arial" w:hAnsi="Arial" w:eastAsia="Calibri" w:cs="Arial" w:eastAsiaTheme="minorAscii"/>
          <w:i w:val="1"/>
          <w:iCs w:val="1"/>
          <w:color w:val="1F497D" w:themeColor="text2" w:themeTint="FF" w:themeShade="FF"/>
          <w:sz w:val="21"/>
          <w:szCs w:val="21"/>
          <w:lang w:val="es-ES" w:eastAsia="en-US"/>
          <w:rPrChange w:author="Erick Mateos Molina" w:date="2025-11-12T16:10:00Z" w16du:dateUtc="2025-11-12T22:10:00Z" w:id="844331999">
            <w:rPr>
              <w:rFonts w:ascii="Arial" w:hAnsi="Arial" w:eastAsia="Calibri" w:cs="Arial" w:eastAsiaTheme="minorAscii"/>
              <w:sz w:val="21"/>
              <w:szCs w:val="21"/>
              <w:lang w:val="es-ES" w:eastAsia="en-US"/>
            </w:rPr>
          </w:rPrChange>
        </w:rPr>
        <w:t>Identificación de datos personales</w:t>
      </w:r>
      <w:r w:rsidRPr="564C18F7" w:rsidR="564C18F7">
        <w:rPr>
          <w:rFonts w:ascii="Arial" w:hAnsi="Arial" w:eastAsia="Calibri" w:cs="Arial" w:eastAsiaTheme="minorAscii"/>
          <w:color w:val="1F497D" w:themeColor="text2" w:themeTint="FF" w:themeShade="FF"/>
          <w:sz w:val="21"/>
          <w:szCs w:val="21"/>
          <w:lang w:val="es-ES" w:eastAsia="en-US"/>
        </w:rPr>
        <w:t xml:space="preserve"> va en concordancia con lo establecido por la normativa mexicana, por lo cual se puede adoptar de manera íntegra. </w:t>
      </w:r>
    </w:p>
    <w:p w:rsidRPr="00593441" w:rsidR="00593441" w:rsidP="564C18F7" w:rsidRDefault="00593441" w14:paraId="02EBA074"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p>
    <w:p w:rsidRPr="00593441" w:rsidR="00593441" w:rsidP="564C18F7" w:rsidRDefault="00593441" w14:paraId="24772A74" w14:textId="44161791">
      <w:pPr>
        <w:pStyle w:val="NormalWeb"/>
        <w:spacing w:before="0" w:beforeAutospacing="off" w:after="0" w:afterAutospacing="off"/>
        <w:jc w:val="both"/>
        <w:rPr>
          <w:rFonts w:ascii="Arial" w:hAnsi="Arial" w:eastAsia="Calibri" w:cs="Arial" w:eastAsiaTheme="minorAscii"/>
          <w:b w:val="1"/>
          <w:bCs w:val="1"/>
          <w:color w:val="1F497D" w:themeColor="text2" w:themeTint="FF" w:themeShade="FF"/>
          <w:sz w:val="21"/>
          <w:szCs w:val="21"/>
          <w:lang w:val="es-ES" w:eastAsia="en-US"/>
        </w:rPr>
      </w:pPr>
      <w:r w:rsidRPr="564C18F7" w:rsidR="564C18F7">
        <w:rPr>
          <w:rFonts w:ascii="Arial" w:hAnsi="Arial" w:eastAsia="Calibri" w:cs="Arial" w:eastAsiaTheme="minorAscii"/>
          <w:b w:val="1"/>
          <w:bCs w:val="1"/>
          <w:color w:val="1F497D" w:themeColor="text2" w:themeTint="FF" w:themeShade="FF"/>
          <w:sz w:val="21"/>
          <w:szCs w:val="21"/>
          <w:lang w:val="es-ES" w:eastAsia="en-US"/>
        </w:rPr>
        <w:t>9</w:t>
      </w:r>
      <w:r w:rsidRPr="564C18F7" w:rsidR="564C18F7">
        <w:rPr>
          <w:rFonts w:ascii="Arial" w:hAnsi="Arial" w:eastAsia="Calibri" w:cs="Arial" w:eastAsiaTheme="minorAscii"/>
          <w:b w:val="1"/>
          <w:bCs w:val="1"/>
          <w:color w:val="1F497D" w:themeColor="text2" w:themeTint="FF" w:themeShade="FF"/>
          <w:sz w:val="21"/>
          <w:szCs w:val="21"/>
          <w:lang w:val="es-ES" w:eastAsia="en-US"/>
        </w:rPr>
        <w:t>.5.3. Evaluación de si los datos personales deben eliminarse y cuándo.</w:t>
      </w:r>
    </w:p>
    <w:p w:rsidRPr="00593441" w:rsidR="00593441" w:rsidP="564C18F7" w:rsidRDefault="00593441" w14:paraId="0AA47359" w14:textId="77777777">
      <w:pPr>
        <w:pStyle w:val="NormalWeb"/>
        <w:spacing w:before="0" w:beforeAutospacing="off" w:after="0" w:afterAutospacing="off"/>
        <w:jc w:val="both"/>
        <w:rPr>
          <w:rFonts w:ascii="Arial" w:hAnsi="Arial" w:eastAsia="Calibri" w:cs="Arial" w:eastAsiaTheme="minorAscii"/>
          <w:b w:val="1"/>
          <w:bCs w:val="1"/>
          <w:color w:val="1F497D" w:themeColor="text2" w:themeTint="FF" w:themeShade="FF"/>
          <w:sz w:val="21"/>
          <w:szCs w:val="21"/>
          <w:lang w:val="es-ES" w:eastAsia="en-US"/>
        </w:rPr>
      </w:pPr>
    </w:p>
    <w:p w:rsidRPr="00593441" w:rsidR="00593441" w:rsidP="564C18F7" w:rsidRDefault="00593441" w14:paraId="61E9C139" w14:textId="7E76DDE6">
      <w:pPr>
        <w:pStyle w:val="NormalWeb"/>
        <w:spacing w:before="0" w:beforeAutospacing="off" w:after="0" w:afterAutospacing="off"/>
        <w:jc w:val="both"/>
        <w:rPr>
          <w:rFonts w:ascii="Arial" w:hAnsi="Arial" w:eastAsia="Calibri" w:cs="Arial" w:eastAsiaTheme="minorAscii"/>
          <w:b w:val="1"/>
          <w:bCs w:val="1"/>
          <w:color w:val="1F497D" w:themeColor="text2" w:themeTint="FF" w:themeShade="FF"/>
          <w:sz w:val="21"/>
          <w:szCs w:val="21"/>
          <w:lang w:val="es-ES" w:eastAsia="en-US"/>
        </w:rPr>
      </w:pPr>
      <w:r w:rsidRPr="564C18F7" w:rsidR="564C18F7">
        <w:rPr>
          <w:rFonts w:ascii="Arial" w:hAnsi="Arial" w:eastAsia="Calibri" w:cs="Arial" w:eastAsiaTheme="minorAscii"/>
          <w:b w:val="1"/>
          <w:bCs w:val="1"/>
          <w:color w:val="1F497D" w:themeColor="text2" w:themeTint="FF" w:themeShade="FF"/>
          <w:sz w:val="21"/>
          <w:szCs w:val="21"/>
          <w:lang w:val="es-ES" w:eastAsia="en-US"/>
        </w:rPr>
        <w:t xml:space="preserve">9.5.3.1. Identificación de los periodos de conservación de los datos. </w:t>
      </w:r>
    </w:p>
    <w:p w:rsidRPr="00593441" w:rsidR="00593441" w:rsidP="564C18F7" w:rsidRDefault="00593441" w14:paraId="5FA681C5"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r w:rsidRPr="564C18F7" w:rsidR="564C18F7">
        <w:rPr>
          <w:rFonts w:ascii="Arial" w:hAnsi="Arial" w:eastAsia="Calibri" w:cs="Arial" w:eastAsiaTheme="minorAscii"/>
          <w:color w:val="1F497D" w:themeColor="text2" w:themeTint="FF" w:themeShade="FF"/>
          <w:sz w:val="21"/>
          <w:szCs w:val="21"/>
          <w:lang w:val="es-ES" w:eastAsia="en-US"/>
        </w:rPr>
        <w:t xml:space="preserve">El proceso establecido en este subsegmento se debe de adoptar en México, con las siguientes modificaciones: </w:t>
      </w:r>
    </w:p>
    <w:p w:rsidRPr="00593441" w:rsidR="00593441" w:rsidP="564C18F7" w:rsidRDefault="00593441" w14:paraId="11CD4925" w14:textId="77777777">
      <w:pPr>
        <w:pStyle w:val="NormalWeb"/>
        <w:numPr>
          <w:ilvl w:val="0"/>
          <w:numId w:val="9"/>
        </w:numPr>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r w:rsidRPr="564C18F7" w:rsidR="564C18F7">
        <w:rPr>
          <w:rFonts w:ascii="Arial" w:hAnsi="Arial" w:eastAsia="Calibri" w:cs="Arial" w:eastAsiaTheme="minorAscii"/>
          <w:color w:val="1F497D" w:themeColor="text2" w:themeTint="FF" w:themeShade="FF"/>
          <w:sz w:val="21"/>
          <w:szCs w:val="21"/>
          <w:lang w:val="es-ES" w:eastAsia="en-US"/>
        </w:rPr>
        <w:t>Se añadirá, como factor adicional a considerar para determinar el periodo de conservación, la prescripción de las acciones legales que pudieran estar relacionadas con la relación en virtud de la cual se trataron los datos personales (Por ejemplo, en caso de que los datos se refieran a la remuneración de un trabajador, deberán conservarse hasta que prescriba la acción legal correspondiente).</w:t>
      </w:r>
    </w:p>
    <w:p w:rsidRPr="00593441" w:rsidR="00593441" w:rsidP="564C18F7" w:rsidRDefault="00593441" w14:paraId="0B7BDD79"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p>
    <w:p w:rsidRPr="00593441" w:rsidR="00593441" w:rsidP="564C18F7" w:rsidRDefault="00593441" w14:paraId="29EC13F2" w14:textId="19FCD048">
      <w:pPr>
        <w:pStyle w:val="NormalWeb"/>
        <w:spacing w:before="0" w:beforeAutospacing="off" w:after="0" w:afterAutospacing="off"/>
        <w:jc w:val="both"/>
        <w:rPr>
          <w:rFonts w:ascii="Arial" w:hAnsi="Arial" w:eastAsia="Calibri" w:cs="Arial" w:eastAsiaTheme="minorAscii"/>
          <w:b w:val="1"/>
          <w:bCs w:val="1"/>
          <w:color w:val="1F497D" w:themeColor="text2" w:themeTint="FF" w:themeShade="FF"/>
          <w:sz w:val="21"/>
          <w:szCs w:val="21"/>
          <w:lang w:val="es-ES" w:eastAsia="en-US"/>
        </w:rPr>
      </w:pPr>
      <w:r w:rsidRPr="564C18F7" w:rsidR="564C18F7">
        <w:rPr>
          <w:rFonts w:ascii="Arial" w:hAnsi="Arial" w:eastAsia="Calibri" w:cs="Arial" w:eastAsiaTheme="minorAscii"/>
          <w:b w:val="1"/>
          <w:bCs w:val="1"/>
          <w:color w:val="1F497D" w:themeColor="text2" w:themeTint="FF" w:themeShade="FF"/>
          <w:sz w:val="21"/>
          <w:szCs w:val="21"/>
          <w:lang w:val="es-ES" w:eastAsia="en-US"/>
        </w:rPr>
        <w:t>9</w:t>
      </w:r>
      <w:r w:rsidRPr="564C18F7" w:rsidR="564C18F7">
        <w:rPr>
          <w:rFonts w:ascii="Arial" w:hAnsi="Arial" w:eastAsia="Calibri" w:cs="Arial" w:eastAsiaTheme="minorAscii"/>
          <w:b w:val="1"/>
          <w:bCs w:val="1"/>
          <w:color w:val="1F497D" w:themeColor="text2" w:themeTint="FF" w:themeShade="FF"/>
          <w:sz w:val="21"/>
          <w:szCs w:val="21"/>
          <w:lang w:val="es-ES" w:eastAsia="en-US"/>
        </w:rPr>
        <w:t xml:space="preserve">.5.3.2. Tratamiento de los periodos de conservación de datos caducos. </w:t>
      </w:r>
    </w:p>
    <w:p w:rsidRPr="00593441" w:rsidR="00593441" w:rsidP="564C18F7" w:rsidRDefault="00593441" w14:paraId="60C5EC1A" w14:textId="346D935E">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r w:rsidRPr="564C18F7" w:rsidR="564C18F7">
        <w:rPr>
          <w:rFonts w:ascii="Arial" w:hAnsi="Arial" w:eastAsia="Calibri" w:cs="Arial" w:eastAsiaTheme="minorAscii"/>
          <w:color w:val="1F497D" w:themeColor="text2" w:themeTint="FF" w:themeShade="FF"/>
          <w:sz w:val="21"/>
          <w:szCs w:val="21"/>
          <w:lang w:val="es-ES" w:eastAsia="en-US"/>
        </w:rPr>
        <w:t xml:space="preserve">El proceso establecido en el segmento 8.5.3.2 </w:t>
      </w:r>
      <w:r w:rsidRPr="564C18F7" w:rsidR="564C18F7">
        <w:rPr>
          <w:rFonts w:ascii="Arial" w:hAnsi="Arial" w:eastAsia="Calibri" w:cs="Arial" w:eastAsiaTheme="minorAscii"/>
          <w:i w:val="1"/>
          <w:iCs w:val="1"/>
          <w:color w:val="1F497D" w:themeColor="text2" w:themeTint="FF" w:themeShade="FF"/>
          <w:sz w:val="21"/>
          <w:szCs w:val="21"/>
          <w:lang w:val="es-ES" w:eastAsia="en-US"/>
        </w:rPr>
        <w:t>Tratamiento de los periodos de conservación de datos caducos,</w:t>
      </w:r>
      <w:r w:rsidRPr="564C18F7" w:rsidR="564C18F7">
        <w:rPr>
          <w:rFonts w:ascii="Arial" w:hAnsi="Arial" w:eastAsia="Calibri" w:cs="Arial" w:eastAsiaTheme="minorAscii"/>
          <w:color w:val="1F497D" w:themeColor="text2" w:themeTint="FF" w:themeShade="FF"/>
          <w:sz w:val="21"/>
          <w:szCs w:val="21"/>
          <w:lang w:val="es-ES" w:eastAsia="en-US"/>
        </w:rPr>
        <w:t xml:space="preserve"> que prevé un periodo adicional de conservación para datos cuya retención GRT ya no puede justificar, no es aplicable en México. En consecuencia, toda la información cuya conservación no pueda ser legalmente justificada deberá eliminarse de manera inmediata.</w:t>
      </w:r>
    </w:p>
    <w:p w:rsidRPr="00593441" w:rsidR="00593441" w:rsidP="564C18F7" w:rsidRDefault="00593441" w14:paraId="23FF7C56"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p>
    <w:p w:rsidRPr="00593441" w:rsidR="00593441" w:rsidP="564C18F7" w:rsidRDefault="00593441" w14:paraId="1B51AF62" w14:textId="354B610D">
      <w:pPr>
        <w:pStyle w:val="NormalWeb"/>
        <w:spacing w:before="0" w:beforeAutospacing="off" w:after="0" w:afterAutospacing="off"/>
        <w:jc w:val="both"/>
        <w:rPr>
          <w:rFonts w:ascii="Arial" w:hAnsi="Arial" w:eastAsia="Calibri" w:cs="Arial" w:eastAsiaTheme="minorAscii"/>
          <w:b w:val="1"/>
          <w:bCs w:val="1"/>
          <w:color w:val="1F497D" w:themeColor="text2" w:themeTint="FF" w:themeShade="FF"/>
          <w:sz w:val="21"/>
          <w:szCs w:val="21"/>
          <w:lang w:val="es-ES" w:eastAsia="en-US"/>
        </w:rPr>
      </w:pPr>
      <w:r w:rsidRPr="564C18F7" w:rsidR="564C18F7">
        <w:rPr>
          <w:rFonts w:ascii="Arial" w:hAnsi="Arial" w:eastAsia="Calibri" w:cs="Arial" w:eastAsiaTheme="minorAscii"/>
          <w:b w:val="1"/>
          <w:bCs w:val="1"/>
          <w:color w:val="1F497D" w:themeColor="text2" w:themeTint="FF" w:themeShade="FF"/>
          <w:sz w:val="21"/>
          <w:szCs w:val="21"/>
          <w:lang w:val="es-ES" w:eastAsia="en-US"/>
        </w:rPr>
        <w:t>9</w:t>
      </w:r>
      <w:r w:rsidRPr="564C18F7" w:rsidR="564C18F7">
        <w:rPr>
          <w:rFonts w:ascii="Arial" w:hAnsi="Arial" w:eastAsia="Calibri" w:cs="Arial" w:eastAsiaTheme="minorAscii"/>
          <w:b w:val="1"/>
          <w:bCs w:val="1"/>
          <w:color w:val="1F497D" w:themeColor="text2" w:themeTint="FF" w:themeShade="FF"/>
          <w:sz w:val="21"/>
          <w:szCs w:val="21"/>
          <w:lang w:val="es-ES" w:eastAsia="en-US"/>
        </w:rPr>
        <w:t xml:space="preserve">.5.4. Eliminación de datos personales. </w:t>
      </w:r>
    </w:p>
    <w:p w:rsidRPr="00593441" w:rsidR="00593441" w:rsidP="564C18F7" w:rsidRDefault="00593441" w14:paraId="27C208A9"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r w:rsidRPr="564C18F7" w:rsidR="564C18F7">
        <w:rPr>
          <w:rFonts w:ascii="Arial" w:hAnsi="Arial" w:eastAsia="Calibri" w:cs="Arial" w:eastAsiaTheme="minorAscii"/>
          <w:color w:val="1F497D" w:themeColor="text2" w:themeTint="FF" w:themeShade="FF"/>
          <w:sz w:val="21"/>
          <w:szCs w:val="21"/>
          <w:lang w:val="es-ES" w:eastAsia="en-US"/>
        </w:rPr>
        <w:t xml:space="preserve">El proceso establecido en el segmento 5.4 </w:t>
      </w:r>
      <w:r w:rsidRPr="564C18F7" w:rsidR="564C18F7">
        <w:rPr>
          <w:rFonts w:ascii="Arial" w:hAnsi="Arial" w:eastAsia="Calibri" w:cs="Arial" w:eastAsiaTheme="minorAscii"/>
          <w:i w:val="1"/>
          <w:iCs w:val="1"/>
          <w:color w:val="1F497D" w:themeColor="text2" w:themeTint="FF" w:themeShade="FF"/>
          <w:sz w:val="21"/>
          <w:szCs w:val="21"/>
          <w:lang w:val="es-ES" w:eastAsia="en-US"/>
        </w:rPr>
        <w:t>Eliminación de datos personales</w:t>
      </w:r>
      <w:r w:rsidRPr="564C18F7" w:rsidR="564C18F7">
        <w:rPr>
          <w:rFonts w:ascii="Arial" w:hAnsi="Arial" w:eastAsia="Calibri" w:cs="Arial" w:eastAsiaTheme="minorAscii"/>
          <w:color w:val="1F497D" w:themeColor="text2" w:themeTint="FF" w:themeShade="FF"/>
          <w:sz w:val="21"/>
          <w:szCs w:val="21"/>
          <w:lang w:val="es-ES" w:eastAsia="en-US"/>
        </w:rPr>
        <w:t xml:space="preserve"> deberá adoptarse en México con la única modificación de que el Equipo de Protección de Datos de la filial será el encargado de asistir en este proceso, en lugar del Equipo de Privacidad de Datos.</w:t>
      </w:r>
    </w:p>
    <w:p w:rsidRPr="00593441" w:rsidR="00593441" w:rsidP="564C18F7" w:rsidRDefault="00593441" w14:paraId="59D30EDD"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p>
    <w:p w:rsidRPr="00593441" w:rsidR="00593441" w:rsidP="564C18F7" w:rsidRDefault="00593441" w14:paraId="10EE1B77" w14:textId="494C1E01">
      <w:pPr>
        <w:pStyle w:val="NormalWeb"/>
        <w:spacing w:before="0" w:beforeAutospacing="off" w:after="0" w:afterAutospacing="off"/>
        <w:jc w:val="both"/>
        <w:rPr>
          <w:rFonts w:ascii="Arial" w:hAnsi="Arial" w:eastAsia="Calibri" w:cs="Arial" w:eastAsiaTheme="minorAscii"/>
          <w:b w:val="1"/>
          <w:bCs w:val="1"/>
          <w:color w:val="1F497D" w:themeColor="text2" w:themeTint="FF" w:themeShade="FF"/>
          <w:sz w:val="21"/>
          <w:szCs w:val="21"/>
          <w:lang w:val="es-ES" w:eastAsia="en-US"/>
        </w:rPr>
      </w:pPr>
      <w:r w:rsidRPr="564C18F7" w:rsidR="564C18F7">
        <w:rPr>
          <w:rFonts w:ascii="Arial" w:hAnsi="Arial" w:eastAsia="Calibri" w:cs="Arial" w:eastAsiaTheme="minorAscii"/>
          <w:b w:val="1"/>
          <w:bCs w:val="1"/>
          <w:color w:val="1F497D" w:themeColor="text2" w:themeTint="FF" w:themeShade="FF"/>
          <w:sz w:val="21"/>
          <w:szCs w:val="21"/>
          <w:lang w:val="es-ES" w:eastAsia="en-US"/>
        </w:rPr>
        <w:t>9</w:t>
      </w:r>
      <w:r w:rsidRPr="564C18F7" w:rsidR="564C18F7">
        <w:rPr>
          <w:rFonts w:ascii="Arial" w:hAnsi="Arial" w:eastAsia="Calibri" w:cs="Arial" w:eastAsiaTheme="minorAscii"/>
          <w:b w:val="1"/>
          <w:bCs w:val="1"/>
          <w:color w:val="1F497D" w:themeColor="text2" w:themeTint="FF" w:themeShade="FF"/>
          <w:sz w:val="21"/>
          <w:szCs w:val="21"/>
          <w:lang w:val="es-ES" w:eastAsia="en-US"/>
        </w:rPr>
        <w:t xml:space="preserve">.5.5. Excepciones a los plazos de conservación de datos. </w:t>
      </w:r>
    </w:p>
    <w:p w:rsidRPr="00593441" w:rsidR="00593441" w:rsidP="564C18F7" w:rsidRDefault="00593441" w14:paraId="19A05C48" w14:textId="77777777">
      <w:pPr>
        <w:pStyle w:val="NormalWeb"/>
        <w:spacing w:before="0" w:beforeAutospacing="off" w:after="0" w:afterAutospacing="off"/>
        <w:jc w:val="both"/>
        <w:rPr>
          <w:rFonts w:ascii="Arial" w:hAnsi="Arial" w:cs="Arial"/>
          <w:color w:val="1F497D" w:themeColor="text2" w:themeTint="FF" w:themeShade="FF"/>
          <w:sz w:val="21"/>
          <w:szCs w:val="21"/>
          <w:lang w:val="es-ES"/>
          <w:rPrChange w:author="" w16du:dateUtc="2025-11-12T19:50:00Z" w:id="1425758419">
            <w:rPr>
              <w:rFonts w:ascii="Arial" w:hAnsi="Arial" w:cs="Arial"/>
              <w:sz w:val="21"/>
              <w:szCs w:val="21"/>
            </w:rPr>
          </w:rPrChange>
        </w:rPr>
      </w:pPr>
      <w:r w:rsidRPr="564C18F7" w:rsidR="564C18F7">
        <w:rPr>
          <w:rFonts w:ascii="Arial" w:hAnsi="Arial" w:cs="Arial"/>
          <w:color w:val="1F497D" w:themeColor="text2" w:themeTint="FF" w:themeShade="FF"/>
          <w:sz w:val="21"/>
          <w:szCs w:val="21"/>
          <w:lang w:val="es-ES"/>
        </w:rPr>
        <w:t>El proceso para predefinir un periodo de conservación deberá adoptarse con las siguientes modificaciones:</w:t>
      </w:r>
    </w:p>
    <w:p w:rsidRPr="00593441" w:rsidR="00593441" w:rsidP="564C18F7" w:rsidRDefault="00593441" w14:paraId="3800E48A" w14:textId="77777777">
      <w:pPr>
        <w:pStyle w:val="NormalWeb"/>
        <w:numPr>
          <w:ilvl w:val="0"/>
          <w:numId w:val="9"/>
        </w:numPr>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r w:rsidRPr="564C18F7" w:rsidR="564C18F7">
        <w:rPr>
          <w:rFonts w:ascii="Arial" w:hAnsi="Arial" w:cs="Arial"/>
          <w:color w:val="1F497D" w:themeColor="text2" w:themeTint="FF" w:themeShade="FF"/>
          <w:sz w:val="21"/>
          <w:szCs w:val="21"/>
          <w:lang w:val="es-ES"/>
        </w:rPr>
        <w:t>El nuevo periodo de conservación deberá ser aprobado por el Equipo de Protección de Datos de la filial correspondiente.</w:t>
      </w:r>
    </w:p>
    <w:p w:rsidRPr="00593441" w:rsidR="00593441" w:rsidP="564C18F7" w:rsidRDefault="00593441" w14:paraId="154C4652" w14:textId="01AC7BA2">
      <w:pPr>
        <w:pStyle w:val="NormalWeb"/>
        <w:numPr>
          <w:ilvl w:val="0"/>
          <w:numId w:val="9"/>
        </w:numPr>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Change w:author="Erick Mateos Molina" w:date="2025-11-12T13:53:00Z" w16du:dateUtc="2025-11-12T19:53:00Z" w:id="1183841632">
            <w:rPr>
              <w:rFonts w:ascii="Arial" w:hAnsi="Arial" w:cs="Arial"/>
              <w:sz w:val="21"/>
              <w:szCs w:val="21"/>
              <w:lang w:val="es-ES"/>
            </w:rPr>
          </w:rPrChange>
        </w:rPr>
      </w:pPr>
      <w:r w:rsidRPr="564C18F7" w:rsidR="564C18F7">
        <w:rPr>
          <w:rFonts w:ascii="Arial" w:hAnsi="Arial" w:cs="Arial"/>
          <w:color w:val="1F497D" w:themeColor="text2" w:themeTint="FF" w:themeShade="FF"/>
          <w:sz w:val="21"/>
          <w:szCs w:val="21"/>
          <w:lang w:val="es-ES"/>
        </w:rPr>
        <w:t>Se suprimen los casos que facultan el requerimiento de un nuevo periodo de conservación, por no ser aplicables en México.</w:t>
      </w:r>
    </w:p>
    <w:p w:rsidRPr="00593441" w:rsidR="00593441" w:rsidP="564C18F7" w:rsidRDefault="00593441" w14:paraId="4791060D" w14:textId="77777777">
      <w:pPr>
        <w:pStyle w:val="NormalWeb"/>
        <w:spacing w:before="0" w:beforeAutospacing="off" w:after="0" w:afterAutospacing="off"/>
        <w:jc w:val="both"/>
        <w:rPr>
          <w:rFonts w:ascii="Arial" w:hAnsi="Arial" w:eastAsia="Calibri" w:cs="Arial" w:eastAsiaTheme="minorAscii"/>
          <w:color w:val="1F497D" w:themeColor="text2" w:themeTint="FF" w:themeShade="FF"/>
          <w:sz w:val="21"/>
          <w:szCs w:val="21"/>
          <w:lang w:val="es-ES" w:eastAsia="en-US"/>
        </w:rPr>
      </w:pPr>
    </w:p>
    <w:p w:rsidRPr="00593441" w:rsidR="00E52278" w:rsidP="564C18F7" w:rsidRDefault="00593441" w14:paraId="37329889" w14:textId="50E22F96">
      <w:pPr>
        <w:jc w:val="both"/>
        <w:rPr>
          <w:b w:val="1"/>
          <w:bCs w:val="1"/>
          <w:color w:val="1F497D" w:themeColor="text2" w:themeTint="FF" w:themeShade="FF"/>
          <w:rPrChange w:author="" w16du:dateUtc="2025-11-12T19:53:00Z" w:id="993126625">
            <w:rPr/>
          </w:rPrChange>
        </w:rPr>
      </w:pPr>
      <w:r w:rsidRPr="564C18F7" w:rsidR="564C18F7">
        <w:rPr>
          <w:b w:val="1"/>
          <w:bCs w:val="1"/>
          <w:color w:val="1F497D" w:themeColor="text2" w:themeTint="FF" w:themeShade="FF"/>
        </w:rPr>
        <w:t xml:space="preserve">8.6. Plantillas y </w:t>
      </w:r>
      <w:r w:rsidRPr="564C18F7" w:rsidR="564C18F7">
        <w:rPr>
          <w:b w:val="1"/>
          <w:bCs w:val="1"/>
          <w:color w:val="1F497D" w:themeColor="text2" w:themeTint="FF" w:themeShade="FF"/>
        </w:rPr>
        <w:t>Fomularios</w:t>
      </w:r>
      <w:r w:rsidRPr="564C18F7" w:rsidR="564C18F7">
        <w:rPr>
          <w:b w:val="1"/>
          <w:bCs w:val="1"/>
          <w:color w:val="1F497D" w:themeColor="text2" w:themeTint="FF" w:themeShade="FF"/>
        </w:rPr>
        <w:t xml:space="preserve">. </w:t>
      </w:r>
    </w:p>
    <w:p w:rsidR="00593441" w:rsidP="564C18F7" w:rsidRDefault="00593441" w14:paraId="7819172C" w14:textId="10CDB136">
      <w:pPr>
        <w:jc w:val="both"/>
        <w:rPr>
          <w:color w:val="1F497D" w:themeColor="text2" w:themeTint="FF" w:themeShade="FF"/>
          <w:lang w:val="es-ES"/>
        </w:rPr>
      </w:pPr>
      <w:r w:rsidRPr="564C18F7" w:rsidR="564C18F7">
        <w:rPr>
          <w:color w:val="1F497D" w:themeColor="text2" w:themeTint="FF" w:themeShade="FF"/>
          <w:lang w:val="es-ES"/>
        </w:rPr>
        <w:t xml:space="preserve">Para la aplicación de este Apéndice deberá de considerar </w:t>
      </w:r>
      <w:r w:rsidRPr="564C18F7" w:rsidR="564C18F7">
        <w:rPr>
          <w:color w:val="1F497D" w:themeColor="text2" w:themeTint="FF" w:themeShade="FF"/>
          <w:lang w:val="es-ES"/>
        </w:rPr>
        <w:t>también los</w:t>
      </w:r>
      <w:r w:rsidRPr="564C18F7" w:rsidR="564C18F7">
        <w:rPr>
          <w:color w:val="1F497D" w:themeColor="text2" w:themeTint="FF" w:themeShade="FF"/>
          <w:lang w:val="es-ES"/>
        </w:rPr>
        <w:t xml:space="preserve"> siguientes documentos. </w:t>
      </w:r>
    </w:p>
    <w:p w:rsidR="00B1065E" w:rsidP="564C18F7" w:rsidRDefault="00B1065E" w14:paraId="0120E4F1" w14:textId="77777777">
      <w:pPr>
        <w:jc w:val="both"/>
        <w:rPr>
          <w:color w:val="1F497D" w:themeColor="text2" w:themeTint="FF" w:themeShade="FF"/>
        </w:rPr>
      </w:pPr>
    </w:p>
    <w:p w:rsidR="00593441" w:rsidP="26F7C3D1" w:rsidRDefault="00593441" w14:paraId="33DA4855" w14:textId="7990D069">
      <w:pPr>
        <w:pStyle w:val="Prrafodelista"/>
        <w:numPr>
          <w:ilvl w:val="0"/>
          <w:numId w:val="11"/>
        </w:numPr>
        <w:jc w:val="both"/>
        <w:rPr>
          <w:color w:val="1F487C" w:themeColor="text2" w:themeTint="FF" w:themeShade="FF"/>
          <w:lang w:val="es-ES"/>
        </w:rPr>
      </w:pPr>
      <w:r w:rsidRPr="26F7C3D1" w:rsidR="26F7C3D1">
        <w:rPr>
          <w:color w:val="1F487C"/>
          <w:lang w:val="es-ES"/>
        </w:rPr>
        <w:t xml:space="preserve">Política de </w:t>
      </w:r>
      <w:r w:rsidRPr="26F7C3D1" w:rsidR="26F7C3D1">
        <w:rPr>
          <w:color w:val="1F487C"/>
          <w:lang w:val="es-ES"/>
        </w:rPr>
        <w:t>Conservación</w:t>
      </w:r>
      <w:r w:rsidRPr="26F7C3D1" w:rsidR="26F7C3D1">
        <w:rPr>
          <w:color w:val="1F487C"/>
          <w:lang w:val="es-ES"/>
        </w:rPr>
        <w:t xml:space="preserve">, </w:t>
      </w:r>
      <w:r w:rsidRPr="26F7C3D1" w:rsidR="26F7C3D1">
        <w:rPr>
          <w:color w:val="1F487C"/>
          <w:lang w:val="es-ES"/>
        </w:rPr>
        <w:t>Bloqueo</w:t>
      </w:r>
      <w:r w:rsidRPr="26F7C3D1" w:rsidR="26F7C3D1">
        <w:rPr>
          <w:color w:val="1F487C"/>
          <w:lang w:val="es-ES"/>
        </w:rPr>
        <w:t xml:space="preserve"> y </w:t>
      </w:r>
      <w:r w:rsidRPr="26F7C3D1" w:rsidR="26F7C3D1">
        <w:rPr>
          <w:color w:val="1F487C"/>
          <w:lang w:val="es-ES"/>
        </w:rPr>
        <w:t>Cancelación</w:t>
      </w:r>
      <w:r w:rsidRPr="26F7C3D1" w:rsidR="26F7C3D1">
        <w:rPr>
          <w:color w:val="1F487C"/>
          <w:lang w:val="es-ES"/>
        </w:rPr>
        <w:t xml:space="preserve"> de Datos</w:t>
      </w:r>
      <w:r w:rsidRPr="26F7C3D1" w:rsidR="26F7C3D1">
        <w:rPr>
          <w:color w:val="1F487C"/>
          <w:lang w:val="es-ES"/>
        </w:rPr>
        <w:t xml:space="preserve"> </w:t>
      </w:r>
      <w:r w:rsidRPr="26F7C3D1" w:rsidR="26F7C3D1">
        <w:rPr>
          <w:color w:val="1F487C"/>
          <w:lang w:val="es-ES"/>
        </w:rPr>
        <w:t>Personales</w:t>
      </w:r>
      <w:r w:rsidRPr="26F7C3D1" w:rsidR="26F7C3D1">
        <w:rPr>
          <w:color w:val="1F487C"/>
          <w:lang w:val="es-ES"/>
        </w:rPr>
        <w:t xml:space="preserve"> de Grünenthal de México, filial de GRT </w:t>
      </w:r>
      <w:r w:rsidRPr="26F7C3D1" w:rsidR="26F7C3D1">
        <w:rPr>
          <w:color w:val="1F487C"/>
          <w:lang w:val="es-ES"/>
        </w:rPr>
        <w:t>en</w:t>
      </w:r>
      <w:r w:rsidRPr="26F7C3D1" w:rsidR="26F7C3D1">
        <w:rPr>
          <w:color w:val="1F487C"/>
          <w:lang w:val="es-ES"/>
        </w:rPr>
        <w:t xml:space="preserve"> la </w:t>
      </w:r>
      <w:r w:rsidRPr="26F7C3D1" w:rsidR="26F7C3D1">
        <w:rPr>
          <w:color w:val="1F487C"/>
          <w:lang w:val="es-ES"/>
        </w:rPr>
        <w:t>regió</w:t>
      </w:r>
      <w:r w:rsidRPr="26F7C3D1" w:rsidR="26F7C3D1">
        <w:rPr>
          <w:color w:val="1F487C"/>
          <w:lang w:val="es-ES"/>
        </w:rPr>
        <w:t>n</w:t>
      </w:r>
      <w:r w:rsidRPr="26F7C3D1" w:rsidR="26F7C3D1">
        <w:rPr>
          <w:color w:val="1F487C"/>
          <w:lang w:val="es-ES"/>
        </w:rPr>
        <w:t xml:space="preserve">. </w:t>
      </w:r>
    </w:p>
    <w:sectPr w:rsidR="00593441">
      <w:pgSz w:w="11910" w:h="16850" w:orient="portrait"/>
      <w:pgMar w:top="1040" w:right="708" w:bottom="280" w:left="1275" w:header="787"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159C" w:rsidRDefault="00A3159C" w14:paraId="0525D579" w14:textId="77777777">
      <w:r>
        <w:separator/>
      </w:r>
    </w:p>
  </w:endnote>
  <w:endnote w:type="continuationSeparator" w:id="0">
    <w:p w:rsidR="00A3159C" w:rsidRDefault="00A3159C" w14:paraId="6DCA07A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159C" w:rsidRDefault="00A3159C" w14:paraId="29B0CAC5" w14:textId="77777777">
      <w:r>
        <w:separator/>
      </w:r>
    </w:p>
  </w:footnote>
  <w:footnote w:type="continuationSeparator" w:id="0">
    <w:p w:rsidR="00A3159C" w:rsidRDefault="00A3159C" w14:paraId="372A4B6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52278" w:rsidRDefault="006756FE" w14:paraId="0C900E1C" w14:textId="77777777">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36BF9B6D" wp14:editId="6FBA700C">
              <wp:simplePos x="0" y="0"/>
              <wp:positionH relativeFrom="page">
                <wp:posOffset>898652</wp:posOffset>
              </wp:positionH>
              <wp:positionV relativeFrom="page">
                <wp:posOffset>486961</wp:posOffset>
              </wp:positionV>
              <wp:extent cx="1378585" cy="167005"/>
              <wp:effectExtent l="0" t="0" r="0" b="0"/>
              <wp:wrapNone/>
              <wp:docPr id="1" name="Textbox 1"/>
              <wp:cNvGraphicFramePr/>
              <a:graphic xmlns:a="http://schemas.openxmlformats.org/drawingml/2006/main">
                <a:graphicData uri="http://schemas.microsoft.com/office/word/2010/wordprocessingShape">
                  <wps:wsp>
                    <wps:cNvSpPr txBox="1"/>
                    <wps:spPr>
                      <a:xfrm>
                        <a:off x="0" y="0"/>
                        <a:ext cx="1378585" cy="167005"/>
                      </a:xfrm>
                      <a:prstGeom prst="rect">
                        <a:avLst/>
                      </a:prstGeom>
                    </wps:spPr>
                    <wps:txbx>
                      <w:txbxContent>
                        <w:p w:rsidR="00E52278" w:rsidRDefault="006756FE" w14:paraId="6E9B6F76" w14:textId="77777777">
                          <w:pPr>
                            <w:spacing w:before="12"/>
                            <w:ind w:left="20"/>
                            <w:rPr>
                              <w:sz w:val="20"/>
                            </w:rPr>
                          </w:pPr>
                          <w:r>
                            <w:rPr>
                              <w:spacing w:val="-2"/>
                              <w:sz w:val="18"/>
                            </w:rPr>
                            <w:t>Número: PROC-007000</w:t>
                          </w:r>
                        </w:p>
                      </w:txbxContent>
                    </wps:txbx>
                    <wps:bodyPr wrap="square" lIns="0" tIns="0" rIns="0" bIns="0" rtlCol="0"/>
                  </wps:wsp>
                </a:graphicData>
              </a:graphic>
            </wp:anchor>
          </w:drawing>
        </mc:Choice>
        <mc:Fallback>
          <w:pict>
            <v:shapetype id="_x0000_t202" coordsize="21600,21600" o:spt="202" path="m,l,21600r21600,l21600,xe" w14:anchorId="36BF9B6D">
              <v:stroke joinstyle="miter"/>
              <v:path gradientshapeok="t" o:connecttype="rect"/>
            </v:shapetype>
            <v:shape id="Textbox 1" style="position:absolute;margin-left:70.75pt;margin-top:38.35pt;width:108.55pt;height:13.1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">
              <v:textbox inset="0,0,0,0">
                <w:txbxContent>
                  <w:p w:rsidR="00E52278" w:rsidRDefault="006756FE" w14:paraId="6E9B6F76" w14:textId="77777777">
                    <w:pPr>
                      <w:spacing w:before="12"/>
                      <w:ind w:left="20"/>
                      <w:rPr>
                        <w:sz w:val="20"/>
                      </w:rPr>
                    </w:pPr>
                    <w:r>
                      <w:rPr>
                        <w:spacing w:val="-2"/>
                        <w:sz w:val="18"/>
                      </w:rPr>
                      <w:t>Número: PROC-007000</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E697930" wp14:editId="0F5B17F5">
              <wp:simplePos x="0" y="0"/>
              <wp:positionH relativeFrom="page">
                <wp:posOffset>3794180</wp:posOffset>
              </wp:positionH>
              <wp:positionV relativeFrom="page">
                <wp:posOffset>486961</wp:posOffset>
              </wp:positionV>
              <wp:extent cx="725170" cy="167005"/>
              <wp:effectExtent l="0" t="0" r="0" b="0"/>
              <wp:wrapNone/>
              <wp:docPr id="2" name="Textbox 2"/>
              <wp:cNvGraphicFramePr/>
              <a:graphic xmlns:a="http://schemas.openxmlformats.org/drawingml/2006/main">
                <a:graphicData uri="http://schemas.microsoft.com/office/word/2010/wordprocessingShape">
                  <wps:wsp>
                    <wps:cNvSpPr txBox="1"/>
                    <wps:spPr>
                      <a:xfrm>
                        <a:off x="0" y="0"/>
                        <a:ext cx="725170" cy="167005"/>
                      </a:xfrm>
                      <a:prstGeom prst="rect">
                        <a:avLst/>
                      </a:prstGeom>
                    </wps:spPr>
                    <wps:txbx>
                      <w:txbxContent>
                        <w:p w:rsidR="00E52278" w:rsidRDefault="006756FE" w14:paraId="6C20EA63" w14:textId="77777777">
                          <w:pPr>
                            <w:spacing w:before="12"/>
                            <w:ind w:left="20"/>
                            <w:rPr>
                              <w:sz w:val="20"/>
                            </w:rPr>
                          </w:pPr>
                          <w:r>
                            <w:rPr>
                              <w:sz w:val="18"/>
                            </w:rPr>
                            <w:t>Revisión:</w:t>
                          </w:r>
                          <w:r>
                            <w:rPr>
                              <w:spacing w:val="-5"/>
                              <w:sz w:val="18"/>
                            </w:rPr>
                            <w:t xml:space="preserve"> 01</w:t>
                          </w:r>
                        </w:p>
                      </w:txbxContent>
                    </wps:txbx>
                    <wps:bodyPr wrap="square" lIns="0" tIns="0" rIns="0" bIns="0" rtlCol="0"/>
                  </wps:wsp>
                </a:graphicData>
              </a:graphic>
            </wp:anchor>
          </w:drawing>
        </mc:Choice>
        <mc:Fallback>
          <w:pict>
            <v:shape id="Textbox 2" style="position:absolute;margin-left:298.75pt;margin-top:38.35pt;width:57.1pt;height:13.15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" w14:anchorId="5E697930">
              <v:textbox inset="0,0,0,0">
                <w:txbxContent>
                  <w:p w:rsidR="00E52278" w:rsidRDefault="006756FE" w14:paraId="6C20EA63" w14:textId="77777777">
                    <w:pPr>
                      <w:spacing w:before="12"/>
                      <w:ind w:left="20"/>
                      <w:rPr>
                        <w:sz w:val="20"/>
                      </w:rPr>
                    </w:pPr>
                    <w:r>
                      <w:rPr>
                        <w:sz w:val="18"/>
                      </w:rPr>
                      <w:t>Revisión:</w:t>
                    </w:r>
                    <w:r>
                      <w:rPr>
                        <w:spacing w:val="-5"/>
                        <w:sz w:val="18"/>
                      </w:rPr>
                      <w:t xml:space="preserve"> 01</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4B2CC99" wp14:editId="4A5FE512">
              <wp:simplePos x="0" y="0"/>
              <wp:positionH relativeFrom="page">
                <wp:posOffset>5164215</wp:posOffset>
              </wp:positionH>
              <wp:positionV relativeFrom="page">
                <wp:posOffset>486961</wp:posOffset>
              </wp:positionV>
              <wp:extent cx="991869" cy="167005"/>
              <wp:effectExtent l="0" t="0" r="0" b="0"/>
              <wp:wrapNone/>
              <wp:docPr id="3" name="Textbox 3"/>
              <wp:cNvGraphicFramePr/>
              <a:graphic xmlns:a="http://schemas.openxmlformats.org/drawingml/2006/main">
                <a:graphicData uri="http://schemas.microsoft.com/office/word/2010/wordprocessingShape">
                  <wps:wsp>
                    <wps:cNvSpPr txBox="1"/>
                    <wps:spPr>
                      <a:xfrm>
                        <a:off x="0" y="0"/>
                        <a:ext cx="991869" cy="167005"/>
                      </a:xfrm>
                      <a:prstGeom prst="rect">
                        <a:avLst/>
                      </a:prstGeom>
                    </wps:spPr>
                    <wps:txbx>
                      <w:txbxContent>
                        <w:p w:rsidR="00E52278" w:rsidRDefault="006756FE" w14:paraId="5AC50706" w14:textId="77777777">
                          <w:pPr>
                            <w:spacing w:before="12"/>
                            <w:ind w:left="20"/>
                            <w:rPr>
                              <w:sz w:val="20"/>
                            </w:rPr>
                          </w:pPr>
                          <w:r>
                            <w:rPr>
                              <w:sz w:val="18"/>
                            </w:rPr>
                            <w:t xml:space="preserve">Estado: </w:t>
                          </w:r>
                          <w:r>
                            <w:rPr>
                              <w:spacing w:val="-2"/>
                              <w:sz w:val="18"/>
                            </w:rPr>
                            <w:t>Publicado</w:t>
                          </w:r>
                        </w:p>
                      </w:txbxContent>
                    </wps:txbx>
                    <wps:bodyPr wrap="square" lIns="0" tIns="0" rIns="0" bIns="0" rtlCol="0"/>
                  </wps:wsp>
                </a:graphicData>
              </a:graphic>
            </wp:anchor>
          </w:drawing>
        </mc:Choice>
        <mc:Fallback>
          <w:pict>
            <v:shape id="Textbox 3" style="position:absolute;margin-left:406.65pt;margin-top:38.35pt;width:78.1pt;height:13.15pt;z-index:-251654144;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" w14:anchorId="34B2CC99">
              <v:textbox inset="0,0,0,0">
                <w:txbxContent>
                  <w:p w:rsidR="00E52278" w:rsidRDefault="006756FE" w14:paraId="5AC50706" w14:textId="77777777">
                    <w:pPr>
                      <w:spacing w:before="12"/>
                      <w:ind w:left="20"/>
                      <w:rPr>
                        <w:sz w:val="20"/>
                      </w:rPr>
                    </w:pPr>
                    <w:r>
                      <w:rPr>
                        <w:sz w:val="18"/>
                      </w:rPr>
                      <w:t xml:space="preserve">Estado: </w:t>
                    </w:r>
                    <w:r>
                      <w:rPr>
                        <w:spacing w:val="-2"/>
                        <w:sz w:val="18"/>
                      </w:rPr>
                      <w:t>Publicado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52278" w:rsidRDefault="006756FE" w14:paraId="1B9282A9" w14:textId="77777777">
    <w:pPr>
      <w:pStyle w:val="Textoindependiente"/>
      <w:spacing w:before="0" w:line="14" w:lineRule="auto"/>
      <w:rPr>
        <w:sz w:val="20"/>
      </w:rPr>
    </w:pPr>
    <w:r>
      <w:rPr>
        <w:noProof/>
        <w:sz w:val="20"/>
      </w:rPr>
      <mc:AlternateContent>
        <mc:Choice Requires="wps">
          <w:drawing>
            <wp:anchor distT="0" distB="0" distL="0" distR="0" simplePos="0" relativeHeight="251664384" behindDoc="1" locked="0" layoutInCell="1" allowOverlap="1" wp14:anchorId="5BE3B50F" wp14:editId="49A5F244">
              <wp:simplePos x="0" y="0"/>
              <wp:positionH relativeFrom="page">
                <wp:posOffset>898652</wp:posOffset>
              </wp:positionH>
              <wp:positionV relativeFrom="page">
                <wp:posOffset>486961</wp:posOffset>
              </wp:positionV>
              <wp:extent cx="1378585"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1378585" cy="167005"/>
                      </a:xfrm>
                      <a:prstGeom prst="rect">
                        <a:avLst/>
                      </a:prstGeom>
                    </wps:spPr>
                    <wps:txbx>
                      <w:txbxContent>
                        <w:p w:rsidR="00E52278" w:rsidRDefault="006756FE" w14:paraId="70974BE3" w14:textId="77777777">
                          <w:pPr>
                            <w:spacing w:before="12"/>
                            <w:ind w:left="20"/>
                            <w:rPr>
                              <w:sz w:val="20"/>
                            </w:rPr>
                          </w:pPr>
                          <w:r>
                            <w:rPr>
                              <w:spacing w:val="-2"/>
                              <w:sz w:val="18"/>
                            </w:rPr>
                            <w:t>Número: PROC-007000</w:t>
                          </w:r>
                        </w:p>
                      </w:txbxContent>
                    </wps:txbx>
                    <wps:bodyPr wrap="square" lIns="0" tIns="0" rIns="0" bIns="0" rtlCol="0"/>
                  </wps:wsp>
                </a:graphicData>
              </a:graphic>
            </wp:anchor>
          </w:drawing>
        </mc:Choice>
        <mc:Fallback>
          <w:pict>
            <v:shapetype id="_x0000_t202" coordsize="21600,21600" o:spt="202" path="m,l,21600r21600,l21600,xe" w14:anchorId="5BE3B50F">
              <v:stroke joinstyle="miter"/>
              <v:path gradientshapeok="t" o:connecttype="rect"/>
            </v:shapetype>
            <v:shape id="Textbox 4" style="position:absolute;margin-left:70.75pt;margin-top:38.35pt;width:108.55pt;height:13.15pt;z-index:-251652096;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">
              <v:textbox inset="0,0,0,0">
                <w:txbxContent>
                  <w:p w:rsidR="00E52278" w:rsidRDefault="006756FE" w14:paraId="70974BE3" w14:textId="77777777">
                    <w:pPr>
                      <w:spacing w:before="12"/>
                      <w:ind w:left="20"/>
                      <w:rPr>
                        <w:sz w:val="20"/>
                      </w:rPr>
                    </w:pPr>
                    <w:r>
                      <w:rPr>
                        <w:spacing w:val="-2"/>
                        <w:sz w:val="18"/>
                      </w:rPr>
                      <w:t>Número: PROC-007000</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7E4BF12B" wp14:editId="426FEFFD">
              <wp:simplePos x="0" y="0"/>
              <wp:positionH relativeFrom="page">
                <wp:posOffset>3794180</wp:posOffset>
              </wp:positionH>
              <wp:positionV relativeFrom="page">
                <wp:posOffset>486961</wp:posOffset>
              </wp:positionV>
              <wp:extent cx="725170" cy="167005"/>
              <wp:effectExtent l="0" t="0" r="0" b="0"/>
              <wp:wrapNone/>
              <wp:docPr id="5" name="Textbox 5"/>
              <wp:cNvGraphicFramePr/>
              <a:graphic xmlns:a="http://schemas.openxmlformats.org/drawingml/2006/main">
                <a:graphicData uri="http://schemas.microsoft.com/office/word/2010/wordprocessingShape">
                  <wps:wsp>
                    <wps:cNvSpPr txBox="1"/>
                    <wps:spPr>
                      <a:xfrm>
                        <a:off x="0" y="0"/>
                        <a:ext cx="725170" cy="167005"/>
                      </a:xfrm>
                      <a:prstGeom prst="rect">
                        <a:avLst/>
                      </a:prstGeom>
                    </wps:spPr>
                    <wps:txbx>
                      <w:txbxContent>
                        <w:p w:rsidR="00E52278" w:rsidRDefault="006756FE" w14:paraId="019D4416" w14:textId="77777777">
                          <w:pPr>
                            <w:spacing w:before="12"/>
                            <w:ind w:left="20"/>
                            <w:rPr>
                              <w:sz w:val="20"/>
                            </w:rPr>
                          </w:pPr>
                          <w:r>
                            <w:rPr>
                              <w:sz w:val="18"/>
                            </w:rPr>
                            <w:t>Revisión:</w:t>
                          </w:r>
                          <w:r>
                            <w:rPr>
                              <w:spacing w:val="-5"/>
                              <w:sz w:val="18"/>
                            </w:rPr>
                            <w:t xml:space="preserve"> 01</w:t>
                          </w:r>
                        </w:p>
                      </w:txbxContent>
                    </wps:txbx>
                    <wps:bodyPr wrap="square" lIns="0" tIns="0" rIns="0" bIns="0" rtlCol="0"/>
                  </wps:wsp>
                </a:graphicData>
              </a:graphic>
            </wp:anchor>
          </w:drawing>
        </mc:Choice>
        <mc:Fallback>
          <w:pict>
            <v:shape id="Textbox 5" style="position:absolute;margin-left:298.75pt;margin-top:38.35pt;width:57.1pt;height:13.15pt;z-index:-251650048;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" w14:anchorId="7E4BF12B">
              <v:textbox inset="0,0,0,0">
                <w:txbxContent>
                  <w:p w:rsidR="00E52278" w:rsidRDefault="006756FE" w14:paraId="019D4416" w14:textId="77777777">
                    <w:pPr>
                      <w:spacing w:before="12"/>
                      <w:ind w:left="20"/>
                      <w:rPr>
                        <w:sz w:val="20"/>
                      </w:rPr>
                    </w:pPr>
                    <w:r>
                      <w:rPr>
                        <w:sz w:val="18"/>
                      </w:rPr>
                      <w:t>Revisión:</w:t>
                    </w:r>
                    <w:r>
                      <w:rPr>
                        <w:spacing w:val="-5"/>
                        <w:sz w:val="18"/>
                      </w:rPr>
                      <w:t xml:space="preserve"> 01</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5B569001" wp14:editId="22DF6110">
              <wp:simplePos x="0" y="0"/>
              <wp:positionH relativeFrom="page">
                <wp:posOffset>5164215</wp:posOffset>
              </wp:positionH>
              <wp:positionV relativeFrom="page">
                <wp:posOffset>486961</wp:posOffset>
              </wp:positionV>
              <wp:extent cx="730250" cy="167005"/>
              <wp:effectExtent l="0" t="0" r="0" b="0"/>
              <wp:wrapNone/>
              <wp:docPr id="6" name="Textbox 6"/>
              <wp:cNvGraphicFramePr/>
              <a:graphic xmlns:a="http://schemas.openxmlformats.org/drawingml/2006/main">
                <a:graphicData uri="http://schemas.microsoft.com/office/word/2010/wordprocessingShape">
                  <wps:wsp>
                    <wps:cNvSpPr txBox="1"/>
                    <wps:spPr>
                      <a:xfrm>
                        <a:off x="0" y="0"/>
                        <a:ext cx="730250" cy="167005"/>
                      </a:xfrm>
                      <a:prstGeom prst="rect">
                        <a:avLst/>
                      </a:prstGeom>
                    </wps:spPr>
                    <wps:txbx>
                      <w:txbxContent>
                        <w:p w:rsidR="00E52278" w:rsidRDefault="006756FE" w14:paraId="697CEB07" w14:textId="77777777">
                          <w:pPr>
                            <w:spacing w:before="12"/>
                            <w:ind w:left="20"/>
                            <w:rPr>
                              <w:sz w:val="20"/>
                            </w:rPr>
                          </w:pPr>
                          <w:r>
                            <w:rPr>
                              <w:sz w:val="18"/>
                            </w:rPr>
                            <w:t xml:space="preserve">Estado: </w:t>
                          </w:r>
                          <w:r>
                            <w:rPr>
                              <w:spacing w:val="-2"/>
                              <w:sz w:val="18"/>
                            </w:rPr>
                            <w:t>Borrador</w:t>
                          </w:r>
                        </w:p>
                      </w:txbxContent>
                    </wps:txbx>
                    <wps:bodyPr wrap="square" lIns="0" tIns="0" rIns="0" bIns="0" rtlCol="0"/>
                  </wps:wsp>
                </a:graphicData>
              </a:graphic>
            </wp:anchor>
          </w:drawing>
        </mc:Choice>
        <mc:Fallback>
          <w:pict>
            <v:shape id="Textbox 6" style="position:absolute;margin-left:406.65pt;margin-top:38.35pt;width:57.5pt;height:13.15pt;z-index:-251648000;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" w14:anchorId="5B569001">
              <v:textbox inset="0,0,0,0">
                <w:txbxContent>
                  <w:p w:rsidR="00E52278" w:rsidRDefault="006756FE" w14:paraId="697CEB07" w14:textId="77777777">
                    <w:pPr>
                      <w:spacing w:before="12"/>
                      <w:ind w:left="20"/>
                      <w:rPr>
                        <w:sz w:val="20"/>
                      </w:rPr>
                    </w:pPr>
                    <w:r>
                      <w:rPr>
                        <w:sz w:val="18"/>
                      </w:rPr>
                      <w:t xml:space="preserve">Estado: </w:t>
                    </w:r>
                    <w:r>
                      <w:rPr>
                        <w:spacing w:val="-2"/>
                        <w:sz w:val="18"/>
                      </w:rPr>
                      <w:t>Borrador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126"/>
    <w:multiLevelType w:val="hybridMultilevel"/>
    <w:tmpl w:val="00000000"/>
    <w:lvl w:ilvl="0" w:tplc="5742F102">
      <w:numFmt w:val="bullet"/>
      <w:lvlText w:val="o"/>
      <w:lvlJc w:val="left"/>
      <w:pPr>
        <w:ind w:left="856" w:hanging="356"/>
      </w:pPr>
      <w:rPr>
        <w:rFonts w:hint="default" w:ascii="Courier New" w:hAnsi="Courier New" w:eastAsia="Courier New" w:cs="Courier New"/>
        <w:b w:val="0"/>
        <w:bCs w:val="0"/>
        <w:i w:val="0"/>
        <w:iCs w:val="0"/>
        <w:spacing w:val="0"/>
        <w:w w:val="100"/>
        <w:sz w:val="24"/>
        <w:szCs w:val="24"/>
        <w:lang w:val="en-US" w:eastAsia="en-US" w:bidi="ar-SA"/>
      </w:rPr>
    </w:lvl>
    <w:lvl w:ilvl="1" w:tplc="7C182CB2">
      <w:numFmt w:val="bullet"/>
      <w:lvlText w:val="•"/>
      <w:lvlJc w:val="left"/>
      <w:pPr>
        <w:ind w:left="1766" w:hanging="356"/>
      </w:pPr>
      <w:rPr>
        <w:rFonts w:hint="default"/>
        <w:lang w:val="en-US" w:eastAsia="en-US" w:bidi="ar-SA"/>
      </w:rPr>
    </w:lvl>
    <w:lvl w:ilvl="2" w:tplc="093A63EC">
      <w:numFmt w:val="bullet"/>
      <w:lvlText w:val="•"/>
      <w:lvlJc w:val="left"/>
      <w:pPr>
        <w:ind w:left="2672" w:hanging="356"/>
      </w:pPr>
      <w:rPr>
        <w:rFonts w:hint="default"/>
        <w:lang w:val="en-US" w:eastAsia="en-US" w:bidi="ar-SA"/>
      </w:rPr>
    </w:lvl>
    <w:lvl w:ilvl="3" w:tplc="C0783ADC">
      <w:numFmt w:val="bullet"/>
      <w:lvlText w:val="•"/>
      <w:lvlJc w:val="left"/>
      <w:pPr>
        <w:ind w:left="3579" w:hanging="356"/>
      </w:pPr>
      <w:rPr>
        <w:rFonts w:hint="default"/>
        <w:lang w:val="en-US" w:eastAsia="en-US" w:bidi="ar-SA"/>
      </w:rPr>
    </w:lvl>
    <w:lvl w:ilvl="4" w:tplc="83D8831A">
      <w:numFmt w:val="bullet"/>
      <w:lvlText w:val="•"/>
      <w:lvlJc w:val="left"/>
      <w:pPr>
        <w:ind w:left="4485" w:hanging="356"/>
      </w:pPr>
      <w:rPr>
        <w:rFonts w:hint="default"/>
        <w:lang w:val="en-US" w:eastAsia="en-US" w:bidi="ar-SA"/>
      </w:rPr>
    </w:lvl>
    <w:lvl w:ilvl="5" w:tplc="F7D8D600">
      <w:numFmt w:val="bullet"/>
      <w:lvlText w:val="•"/>
      <w:lvlJc w:val="left"/>
      <w:pPr>
        <w:ind w:left="5391" w:hanging="356"/>
      </w:pPr>
      <w:rPr>
        <w:rFonts w:hint="default"/>
        <w:lang w:val="en-US" w:eastAsia="en-US" w:bidi="ar-SA"/>
      </w:rPr>
    </w:lvl>
    <w:lvl w:ilvl="6" w:tplc="5E60E6F2">
      <w:numFmt w:val="bullet"/>
      <w:lvlText w:val="•"/>
      <w:lvlJc w:val="left"/>
      <w:pPr>
        <w:ind w:left="6298" w:hanging="356"/>
      </w:pPr>
      <w:rPr>
        <w:rFonts w:hint="default"/>
        <w:lang w:val="en-US" w:eastAsia="en-US" w:bidi="ar-SA"/>
      </w:rPr>
    </w:lvl>
    <w:lvl w:ilvl="7" w:tplc="54B40F38">
      <w:numFmt w:val="bullet"/>
      <w:lvlText w:val="•"/>
      <w:lvlJc w:val="left"/>
      <w:pPr>
        <w:ind w:left="7204" w:hanging="356"/>
      </w:pPr>
      <w:rPr>
        <w:rFonts w:hint="default"/>
        <w:lang w:val="en-US" w:eastAsia="en-US" w:bidi="ar-SA"/>
      </w:rPr>
    </w:lvl>
    <w:lvl w:ilvl="8" w:tplc="24D8B606">
      <w:numFmt w:val="bullet"/>
      <w:lvlText w:val="•"/>
      <w:lvlJc w:val="left"/>
      <w:pPr>
        <w:ind w:left="8110" w:hanging="356"/>
      </w:pPr>
      <w:rPr>
        <w:rFonts w:hint="default"/>
        <w:lang w:val="en-US" w:eastAsia="en-US" w:bidi="ar-SA"/>
      </w:rPr>
    </w:lvl>
  </w:abstractNum>
  <w:abstractNum w:abstractNumId="1" w15:restartNumberingAfterBreak="0">
    <w:nsid w:val="02F47687"/>
    <w:multiLevelType w:val="hybridMultilevel"/>
    <w:tmpl w:val="00000000"/>
    <w:lvl w:ilvl="0" w:tplc="D4B6F73C">
      <w:start w:val="1"/>
      <w:numFmt w:val="lowerLetter"/>
      <w:lvlText w:val="%1)"/>
      <w:lvlJc w:val="left"/>
      <w:pPr>
        <w:ind w:left="863" w:hanging="360"/>
      </w:pPr>
      <w:rPr>
        <w:rFonts w:hint="default" w:ascii="Arial" w:hAnsi="Arial" w:eastAsia="Arial" w:cs="Arial"/>
        <w:b w:val="0"/>
        <w:bCs w:val="0"/>
        <w:i w:val="0"/>
        <w:iCs w:val="0"/>
        <w:spacing w:val="0"/>
        <w:w w:val="100"/>
        <w:sz w:val="24"/>
        <w:szCs w:val="24"/>
        <w:lang w:val="en-US" w:eastAsia="en-US" w:bidi="ar-SA"/>
      </w:rPr>
    </w:lvl>
    <w:lvl w:ilvl="1" w:tplc="6A90875A">
      <w:numFmt w:val="bullet"/>
      <w:lvlText w:val="•"/>
      <w:lvlJc w:val="left"/>
      <w:pPr>
        <w:ind w:left="1766" w:hanging="360"/>
      </w:pPr>
      <w:rPr>
        <w:rFonts w:hint="default"/>
        <w:lang w:val="en-US" w:eastAsia="en-US" w:bidi="ar-SA"/>
      </w:rPr>
    </w:lvl>
    <w:lvl w:ilvl="2" w:tplc="0178C300">
      <w:numFmt w:val="bullet"/>
      <w:lvlText w:val="•"/>
      <w:lvlJc w:val="left"/>
      <w:pPr>
        <w:ind w:left="2672" w:hanging="360"/>
      </w:pPr>
      <w:rPr>
        <w:rFonts w:hint="default"/>
        <w:lang w:val="en-US" w:eastAsia="en-US" w:bidi="ar-SA"/>
      </w:rPr>
    </w:lvl>
    <w:lvl w:ilvl="3" w:tplc="5908ED44">
      <w:numFmt w:val="bullet"/>
      <w:lvlText w:val="•"/>
      <w:lvlJc w:val="left"/>
      <w:pPr>
        <w:ind w:left="3579" w:hanging="360"/>
      </w:pPr>
      <w:rPr>
        <w:rFonts w:hint="default"/>
        <w:lang w:val="en-US" w:eastAsia="en-US" w:bidi="ar-SA"/>
      </w:rPr>
    </w:lvl>
    <w:lvl w:ilvl="4" w:tplc="F47CD434">
      <w:numFmt w:val="bullet"/>
      <w:lvlText w:val="•"/>
      <w:lvlJc w:val="left"/>
      <w:pPr>
        <w:ind w:left="4485" w:hanging="360"/>
      </w:pPr>
      <w:rPr>
        <w:rFonts w:hint="default"/>
        <w:lang w:val="en-US" w:eastAsia="en-US" w:bidi="ar-SA"/>
      </w:rPr>
    </w:lvl>
    <w:lvl w:ilvl="5" w:tplc="7FB81A32">
      <w:numFmt w:val="bullet"/>
      <w:lvlText w:val="•"/>
      <w:lvlJc w:val="left"/>
      <w:pPr>
        <w:ind w:left="5391" w:hanging="360"/>
      </w:pPr>
      <w:rPr>
        <w:rFonts w:hint="default"/>
        <w:lang w:val="en-US" w:eastAsia="en-US" w:bidi="ar-SA"/>
      </w:rPr>
    </w:lvl>
    <w:lvl w:ilvl="6" w:tplc="6C3A5E60">
      <w:numFmt w:val="bullet"/>
      <w:lvlText w:val="•"/>
      <w:lvlJc w:val="left"/>
      <w:pPr>
        <w:ind w:left="6298" w:hanging="360"/>
      </w:pPr>
      <w:rPr>
        <w:rFonts w:hint="default"/>
        <w:lang w:val="en-US" w:eastAsia="en-US" w:bidi="ar-SA"/>
      </w:rPr>
    </w:lvl>
    <w:lvl w:ilvl="7" w:tplc="F7F87098">
      <w:numFmt w:val="bullet"/>
      <w:lvlText w:val="•"/>
      <w:lvlJc w:val="left"/>
      <w:pPr>
        <w:ind w:left="7204" w:hanging="360"/>
      </w:pPr>
      <w:rPr>
        <w:rFonts w:hint="default"/>
        <w:lang w:val="en-US" w:eastAsia="en-US" w:bidi="ar-SA"/>
      </w:rPr>
    </w:lvl>
    <w:lvl w:ilvl="8" w:tplc="FE521752">
      <w:numFmt w:val="bullet"/>
      <w:lvlText w:val="•"/>
      <w:lvlJc w:val="left"/>
      <w:pPr>
        <w:ind w:left="8110" w:hanging="360"/>
      </w:pPr>
      <w:rPr>
        <w:rFonts w:hint="default"/>
        <w:lang w:val="en-US" w:eastAsia="en-US" w:bidi="ar-SA"/>
      </w:rPr>
    </w:lvl>
  </w:abstractNum>
  <w:abstractNum w:abstractNumId="2" w15:restartNumberingAfterBreak="0">
    <w:nsid w:val="15768BB0"/>
    <w:multiLevelType w:val="hybridMultilevel"/>
    <w:tmpl w:val="00000000"/>
    <w:lvl w:ilvl="0" w:tplc="CAF6FC34">
      <w:numFmt w:val="bullet"/>
      <w:lvlText w:val="o"/>
      <w:lvlJc w:val="left"/>
      <w:pPr>
        <w:ind w:left="863" w:hanging="360"/>
      </w:pPr>
      <w:rPr>
        <w:rFonts w:hint="default" w:ascii="Courier New" w:hAnsi="Courier New" w:eastAsia="Courier New" w:cs="Courier New"/>
        <w:b w:val="0"/>
        <w:bCs w:val="0"/>
        <w:i w:val="0"/>
        <w:iCs w:val="0"/>
        <w:spacing w:val="0"/>
        <w:w w:val="100"/>
        <w:sz w:val="24"/>
        <w:szCs w:val="24"/>
        <w:lang w:val="en-US" w:eastAsia="en-US" w:bidi="ar-SA"/>
      </w:rPr>
    </w:lvl>
    <w:lvl w:ilvl="1" w:tplc="F85A2582">
      <w:numFmt w:val="bullet"/>
      <w:lvlText w:val="•"/>
      <w:lvlJc w:val="left"/>
      <w:pPr>
        <w:ind w:left="1766" w:hanging="360"/>
      </w:pPr>
      <w:rPr>
        <w:rFonts w:hint="default"/>
        <w:lang w:val="en-US" w:eastAsia="en-US" w:bidi="ar-SA"/>
      </w:rPr>
    </w:lvl>
    <w:lvl w:ilvl="2" w:tplc="746CE80E">
      <w:numFmt w:val="bullet"/>
      <w:lvlText w:val="•"/>
      <w:lvlJc w:val="left"/>
      <w:pPr>
        <w:ind w:left="2672" w:hanging="360"/>
      </w:pPr>
      <w:rPr>
        <w:rFonts w:hint="default"/>
        <w:lang w:val="en-US" w:eastAsia="en-US" w:bidi="ar-SA"/>
      </w:rPr>
    </w:lvl>
    <w:lvl w:ilvl="3" w:tplc="F5069C9A">
      <w:numFmt w:val="bullet"/>
      <w:lvlText w:val="•"/>
      <w:lvlJc w:val="left"/>
      <w:pPr>
        <w:ind w:left="3579" w:hanging="360"/>
      </w:pPr>
      <w:rPr>
        <w:rFonts w:hint="default"/>
        <w:lang w:val="en-US" w:eastAsia="en-US" w:bidi="ar-SA"/>
      </w:rPr>
    </w:lvl>
    <w:lvl w:ilvl="4" w:tplc="48125B3A">
      <w:numFmt w:val="bullet"/>
      <w:lvlText w:val="•"/>
      <w:lvlJc w:val="left"/>
      <w:pPr>
        <w:ind w:left="4485" w:hanging="360"/>
      </w:pPr>
      <w:rPr>
        <w:rFonts w:hint="default"/>
        <w:lang w:val="en-US" w:eastAsia="en-US" w:bidi="ar-SA"/>
      </w:rPr>
    </w:lvl>
    <w:lvl w:ilvl="5" w:tplc="3FD417EE">
      <w:numFmt w:val="bullet"/>
      <w:lvlText w:val="•"/>
      <w:lvlJc w:val="left"/>
      <w:pPr>
        <w:ind w:left="5391" w:hanging="360"/>
      </w:pPr>
      <w:rPr>
        <w:rFonts w:hint="default"/>
        <w:lang w:val="en-US" w:eastAsia="en-US" w:bidi="ar-SA"/>
      </w:rPr>
    </w:lvl>
    <w:lvl w:ilvl="6" w:tplc="6BC6FD78">
      <w:numFmt w:val="bullet"/>
      <w:lvlText w:val="•"/>
      <w:lvlJc w:val="left"/>
      <w:pPr>
        <w:ind w:left="6298" w:hanging="360"/>
      </w:pPr>
      <w:rPr>
        <w:rFonts w:hint="default"/>
        <w:lang w:val="en-US" w:eastAsia="en-US" w:bidi="ar-SA"/>
      </w:rPr>
    </w:lvl>
    <w:lvl w:ilvl="7" w:tplc="AB6272A6">
      <w:numFmt w:val="bullet"/>
      <w:lvlText w:val="•"/>
      <w:lvlJc w:val="left"/>
      <w:pPr>
        <w:ind w:left="7204" w:hanging="360"/>
      </w:pPr>
      <w:rPr>
        <w:rFonts w:hint="default"/>
        <w:lang w:val="en-US" w:eastAsia="en-US" w:bidi="ar-SA"/>
      </w:rPr>
    </w:lvl>
    <w:lvl w:ilvl="8" w:tplc="DCF67A1C">
      <w:numFmt w:val="bullet"/>
      <w:lvlText w:val="•"/>
      <w:lvlJc w:val="left"/>
      <w:pPr>
        <w:ind w:left="8110" w:hanging="360"/>
      </w:pPr>
      <w:rPr>
        <w:rFonts w:hint="default"/>
        <w:lang w:val="en-US" w:eastAsia="en-US" w:bidi="ar-SA"/>
      </w:rPr>
    </w:lvl>
  </w:abstractNum>
  <w:abstractNum w:abstractNumId="3" w15:restartNumberingAfterBreak="0">
    <w:nsid w:val="25D753E2"/>
    <w:multiLevelType w:val="hybridMultilevel"/>
    <w:tmpl w:val="134A3DB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2FA3B2BD"/>
    <w:multiLevelType w:val="hybridMultilevel"/>
    <w:tmpl w:val="00000000"/>
    <w:lvl w:ilvl="0" w:tplc="E97E063A">
      <w:numFmt w:val="bullet"/>
      <w:lvlText w:val="o"/>
      <w:lvlJc w:val="left"/>
      <w:pPr>
        <w:ind w:left="851" w:hanging="360"/>
      </w:pPr>
      <w:rPr>
        <w:rFonts w:hint="default" w:ascii="Courier New" w:hAnsi="Courier New" w:eastAsia="Courier New" w:cs="Courier New"/>
        <w:b w:val="0"/>
        <w:bCs w:val="0"/>
        <w:i w:val="0"/>
        <w:iCs w:val="0"/>
        <w:spacing w:val="0"/>
        <w:w w:val="100"/>
        <w:sz w:val="24"/>
        <w:szCs w:val="24"/>
        <w:lang w:val="en-US" w:eastAsia="en-US" w:bidi="ar-SA"/>
      </w:rPr>
    </w:lvl>
    <w:lvl w:ilvl="1" w:tplc="380A60E4">
      <w:numFmt w:val="bullet"/>
      <w:lvlText w:val="•"/>
      <w:lvlJc w:val="left"/>
      <w:pPr>
        <w:ind w:left="1766" w:hanging="360"/>
      </w:pPr>
      <w:rPr>
        <w:rFonts w:hint="default"/>
        <w:lang w:val="en-US" w:eastAsia="en-US" w:bidi="ar-SA"/>
      </w:rPr>
    </w:lvl>
    <w:lvl w:ilvl="2" w:tplc="973C79B0">
      <w:numFmt w:val="bullet"/>
      <w:lvlText w:val="•"/>
      <w:lvlJc w:val="left"/>
      <w:pPr>
        <w:ind w:left="2672" w:hanging="360"/>
      </w:pPr>
      <w:rPr>
        <w:rFonts w:hint="default"/>
        <w:lang w:val="en-US" w:eastAsia="en-US" w:bidi="ar-SA"/>
      </w:rPr>
    </w:lvl>
    <w:lvl w:ilvl="3" w:tplc="D8EC6A42">
      <w:numFmt w:val="bullet"/>
      <w:lvlText w:val="•"/>
      <w:lvlJc w:val="left"/>
      <w:pPr>
        <w:ind w:left="3579" w:hanging="360"/>
      </w:pPr>
      <w:rPr>
        <w:rFonts w:hint="default"/>
        <w:lang w:val="en-US" w:eastAsia="en-US" w:bidi="ar-SA"/>
      </w:rPr>
    </w:lvl>
    <w:lvl w:ilvl="4" w:tplc="CF3473F2">
      <w:numFmt w:val="bullet"/>
      <w:lvlText w:val="•"/>
      <w:lvlJc w:val="left"/>
      <w:pPr>
        <w:ind w:left="4485" w:hanging="360"/>
      </w:pPr>
      <w:rPr>
        <w:rFonts w:hint="default"/>
        <w:lang w:val="en-US" w:eastAsia="en-US" w:bidi="ar-SA"/>
      </w:rPr>
    </w:lvl>
    <w:lvl w:ilvl="5" w:tplc="6834F7AE">
      <w:numFmt w:val="bullet"/>
      <w:lvlText w:val="•"/>
      <w:lvlJc w:val="left"/>
      <w:pPr>
        <w:ind w:left="5391" w:hanging="360"/>
      </w:pPr>
      <w:rPr>
        <w:rFonts w:hint="default"/>
        <w:lang w:val="en-US" w:eastAsia="en-US" w:bidi="ar-SA"/>
      </w:rPr>
    </w:lvl>
    <w:lvl w:ilvl="6" w:tplc="4EBAB998">
      <w:numFmt w:val="bullet"/>
      <w:lvlText w:val="•"/>
      <w:lvlJc w:val="left"/>
      <w:pPr>
        <w:ind w:left="6298" w:hanging="360"/>
      </w:pPr>
      <w:rPr>
        <w:rFonts w:hint="default"/>
        <w:lang w:val="en-US" w:eastAsia="en-US" w:bidi="ar-SA"/>
      </w:rPr>
    </w:lvl>
    <w:lvl w:ilvl="7" w:tplc="A5C294C4">
      <w:numFmt w:val="bullet"/>
      <w:lvlText w:val="•"/>
      <w:lvlJc w:val="left"/>
      <w:pPr>
        <w:ind w:left="7204" w:hanging="360"/>
      </w:pPr>
      <w:rPr>
        <w:rFonts w:hint="default"/>
        <w:lang w:val="en-US" w:eastAsia="en-US" w:bidi="ar-SA"/>
      </w:rPr>
    </w:lvl>
    <w:lvl w:ilvl="8" w:tplc="AFF83418">
      <w:numFmt w:val="bullet"/>
      <w:lvlText w:val="•"/>
      <w:lvlJc w:val="left"/>
      <w:pPr>
        <w:ind w:left="8110" w:hanging="360"/>
      </w:pPr>
      <w:rPr>
        <w:rFonts w:hint="default"/>
        <w:lang w:val="en-US" w:eastAsia="en-US" w:bidi="ar-SA"/>
      </w:rPr>
    </w:lvl>
  </w:abstractNum>
  <w:abstractNum w:abstractNumId="5" w15:restartNumberingAfterBreak="0">
    <w:nsid w:val="3C791A80"/>
    <w:multiLevelType w:val="multilevel"/>
    <w:tmpl w:val="00000000"/>
    <w:lvl w:ilvl="0">
      <w:start w:val="1"/>
      <w:numFmt w:val="decimal"/>
      <w:lvlText w:val="%1"/>
      <w:lvlJc w:val="left"/>
      <w:pPr>
        <w:ind w:left="1276" w:hanging="1133"/>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1420" w:hanging="1277"/>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1561" w:hanging="1419"/>
      </w:pPr>
      <w:rPr>
        <w:rFonts w:hint="default" w:ascii="Arial" w:hAnsi="Arial" w:eastAsia="Arial" w:cs="Arial"/>
        <w:b/>
        <w:bCs/>
        <w:i w:val="0"/>
        <w:iCs w:val="0"/>
        <w:spacing w:val="-2"/>
        <w:w w:val="100"/>
        <w:sz w:val="24"/>
        <w:szCs w:val="24"/>
        <w:lang w:val="en-US" w:eastAsia="en-US" w:bidi="ar-SA"/>
      </w:rPr>
    </w:lvl>
    <w:lvl w:ilvl="3">
      <w:start w:val="1"/>
      <w:numFmt w:val="decimal"/>
      <w:lvlText w:val="%4."/>
      <w:lvlJc w:val="left"/>
      <w:pPr>
        <w:ind w:left="930" w:hanging="360"/>
      </w:pPr>
      <w:rPr>
        <w:rFonts w:hint="default" w:ascii="Arial" w:hAnsi="Arial" w:eastAsia="Arial" w:cs="Arial"/>
        <w:b w:val="0"/>
        <w:bCs w:val="0"/>
        <w:i w:val="0"/>
        <w:iCs w:val="0"/>
        <w:spacing w:val="0"/>
        <w:w w:val="100"/>
        <w:sz w:val="24"/>
        <w:szCs w:val="24"/>
        <w:lang w:val="en-US" w:eastAsia="en-US" w:bidi="ar-SA"/>
      </w:rPr>
    </w:lvl>
    <w:lvl w:ilvl="4">
      <w:numFmt w:val="bullet"/>
      <w:lvlText w:val="•"/>
      <w:lvlJc w:val="left"/>
      <w:pPr>
        <w:ind w:left="2754" w:hanging="360"/>
      </w:pPr>
      <w:rPr>
        <w:rFonts w:hint="default"/>
        <w:lang w:val="en-US" w:eastAsia="en-US" w:bidi="ar-SA"/>
      </w:rPr>
    </w:lvl>
    <w:lvl w:ilvl="5">
      <w:numFmt w:val="bullet"/>
      <w:lvlText w:val="•"/>
      <w:lvlJc w:val="left"/>
      <w:pPr>
        <w:ind w:left="3949" w:hanging="360"/>
      </w:pPr>
      <w:rPr>
        <w:rFonts w:hint="default"/>
        <w:lang w:val="en-US" w:eastAsia="en-US" w:bidi="ar-SA"/>
      </w:rPr>
    </w:lvl>
    <w:lvl w:ilvl="6">
      <w:numFmt w:val="bullet"/>
      <w:lvlText w:val="•"/>
      <w:lvlJc w:val="left"/>
      <w:pPr>
        <w:ind w:left="5144" w:hanging="360"/>
      </w:pPr>
      <w:rPr>
        <w:rFonts w:hint="default"/>
        <w:lang w:val="en-US" w:eastAsia="en-US" w:bidi="ar-SA"/>
      </w:rPr>
    </w:lvl>
    <w:lvl w:ilvl="7">
      <w:numFmt w:val="bullet"/>
      <w:lvlText w:val="•"/>
      <w:lvlJc w:val="left"/>
      <w:pPr>
        <w:ind w:left="6339" w:hanging="360"/>
      </w:pPr>
      <w:rPr>
        <w:rFonts w:hint="default"/>
        <w:lang w:val="en-US" w:eastAsia="en-US" w:bidi="ar-SA"/>
      </w:rPr>
    </w:lvl>
    <w:lvl w:ilvl="8">
      <w:numFmt w:val="bullet"/>
      <w:lvlText w:val="•"/>
      <w:lvlJc w:val="left"/>
      <w:pPr>
        <w:ind w:left="7533" w:hanging="360"/>
      </w:pPr>
      <w:rPr>
        <w:rFonts w:hint="default"/>
        <w:lang w:val="en-US" w:eastAsia="en-US" w:bidi="ar-SA"/>
      </w:rPr>
    </w:lvl>
  </w:abstractNum>
  <w:abstractNum w:abstractNumId="6" w15:restartNumberingAfterBreak="0">
    <w:nsid w:val="4A6D0B54"/>
    <w:multiLevelType w:val="hybridMultilevel"/>
    <w:tmpl w:val="09E2611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52D6F537"/>
    <w:multiLevelType w:val="hybridMultilevel"/>
    <w:tmpl w:val="00000000"/>
    <w:lvl w:ilvl="0" w:tplc="D0AE305C">
      <w:start w:val="1"/>
      <w:numFmt w:val="decimal"/>
      <w:lvlText w:val="%1)"/>
      <w:lvlJc w:val="left"/>
      <w:pPr>
        <w:ind w:left="863" w:hanging="360"/>
      </w:pPr>
      <w:rPr>
        <w:rFonts w:hint="default" w:ascii="Arial" w:hAnsi="Arial" w:eastAsia="Arial" w:cs="Arial"/>
        <w:b w:val="0"/>
        <w:bCs w:val="0"/>
        <w:i w:val="0"/>
        <w:iCs w:val="0"/>
        <w:spacing w:val="0"/>
        <w:w w:val="100"/>
        <w:sz w:val="24"/>
        <w:szCs w:val="24"/>
        <w:lang w:val="en-US" w:eastAsia="en-US" w:bidi="ar-SA"/>
      </w:rPr>
    </w:lvl>
    <w:lvl w:ilvl="1" w:tplc="833E8B08">
      <w:numFmt w:val="bullet"/>
      <w:lvlText w:val="•"/>
      <w:lvlJc w:val="left"/>
      <w:pPr>
        <w:ind w:left="1766" w:hanging="360"/>
      </w:pPr>
      <w:rPr>
        <w:rFonts w:hint="default"/>
        <w:lang w:val="en-US" w:eastAsia="en-US" w:bidi="ar-SA"/>
      </w:rPr>
    </w:lvl>
    <w:lvl w:ilvl="2" w:tplc="3CBE9C06">
      <w:numFmt w:val="bullet"/>
      <w:lvlText w:val="•"/>
      <w:lvlJc w:val="left"/>
      <w:pPr>
        <w:ind w:left="2672" w:hanging="360"/>
      </w:pPr>
      <w:rPr>
        <w:rFonts w:hint="default"/>
        <w:lang w:val="en-US" w:eastAsia="en-US" w:bidi="ar-SA"/>
      </w:rPr>
    </w:lvl>
    <w:lvl w:ilvl="3" w:tplc="1346CB34">
      <w:numFmt w:val="bullet"/>
      <w:lvlText w:val="•"/>
      <w:lvlJc w:val="left"/>
      <w:pPr>
        <w:ind w:left="3579" w:hanging="360"/>
      </w:pPr>
      <w:rPr>
        <w:rFonts w:hint="default"/>
        <w:lang w:val="en-US" w:eastAsia="en-US" w:bidi="ar-SA"/>
      </w:rPr>
    </w:lvl>
    <w:lvl w:ilvl="4" w:tplc="418E3742">
      <w:numFmt w:val="bullet"/>
      <w:lvlText w:val="•"/>
      <w:lvlJc w:val="left"/>
      <w:pPr>
        <w:ind w:left="4485" w:hanging="360"/>
      </w:pPr>
      <w:rPr>
        <w:rFonts w:hint="default"/>
        <w:lang w:val="en-US" w:eastAsia="en-US" w:bidi="ar-SA"/>
      </w:rPr>
    </w:lvl>
    <w:lvl w:ilvl="5" w:tplc="538207C8">
      <w:numFmt w:val="bullet"/>
      <w:lvlText w:val="•"/>
      <w:lvlJc w:val="left"/>
      <w:pPr>
        <w:ind w:left="5391" w:hanging="360"/>
      </w:pPr>
      <w:rPr>
        <w:rFonts w:hint="default"/>
        <w:lang w:val="en-US" w:eastAsia="en-US" w:bidi="ar-SA"/>
      </w:rPr>
    </w:lvl>
    <w:lvl w:ilvl="6" w:tplc="E912D8A8">
      <w:numFmt w:val="bullet"/>
      <w:lvlText w:val="•"/>
      <w:lvlJc w:val="left"/>
      <w:pPr>
        <w:ind w:left="6298" w:hanging="360"/>
      </w:pPr>
      <w:rPr>
        <w:rFonts w:hint="default"/>
        <w:lang w:val="en-US" w:eastAsia="en-US" w:bidi="ar-SA"/>
      </w:rPr>
    </w:lvl>
    <w:lvl w:ilvl="7" w:tplc="51DCD928">
      <w:numFmt w:val="bullet"/>
      <w:lvlText w:val="•"/>
      <w:lvlJc w:val="left"/>
      <w:pPr>
        <w:ind w:left="7204" w:hanging="360"/>
      </w:pPr>
      <w:rPr>
        <w:rFonts w:hint="default"/>
        <w:lang w:val="en-US" w:eastAsia="en-US" w:bidi="ar-SA"/>
      </w:rPr>
    </w:lvl>
    <w:lvl w:ilvl="8" w:tplc="6AA49F48">
      <w:numFmt w:val="bullet"/>
      <w:lvlText w:val="•"/>
      <w:lvlJc w:val="left"/>
      <w:pPr>
        <w:ind w:left="8110" w:hanging="360"/>
      </w:pPr>
      <w:rPr>
        <w:rFonts w:hint="default"/>
        <w:lang w:val="en-US" w:eastAsia="en-US" w:bidi="ar-SA"/>
      </w:rPr>
    </w:lvl>
  </w:abstractNum>
  <w:abstractNum w:abstractNumId="8" w15:restartNumberingAfterBreak="0">
    <w:nsid w:val="57C57671"/>
    <w:multiLevelType w:val="multilevel"/>
    <w:tmpl w:val="000889FE"/>
    <w:lvl w:ilvl="0">
      <w:start w:val="9"/>
      <w:numFmt w:val="decimal"/>
      <w:lvlText w:val="%1."/>
      <w:lvlJc w:val="lef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A96F79A"/>
    <w:multiLevelType w:val="hybridMultilevel"/>
    <w:tmpl w:val="00000000"/>
    <w:lvl w:ilvl="0" w:tplc="D1BE1F74">
      <w:numFmt w:val="bullet"/>
      <w:lvlText w:val="o"/>
      <w:lvlJc w:val="left"/>
      <w:pPr>
        <w:ind w:left="863" w:hanging="360"/>
      </w:pPr>
      <w:rPr>
        <w:rFonts w:hint="default" w:ascii="Courier New" w:hAnsi="Courier New" w:eastAsia="Courier New" w:cs="Courier New"/>
        <w:b w:val="0"/>
        <w:bCs w:val="0"/>
        <w:i w:val="0"/>
        <w:iCs w:val="0"/>
        <w:spacing w:val="0"/>
        <w:w w:val="100"/>
        <w:sz w:val="24"/>
        <w:szCs w:val="24"/>
        <w:lang w:val="en-US" w:eastAsia="en-US" w:bidi="ar-SA"/>
      </w:rPr>
    </w:lvl>
    <w:lvl w:ilvl="1" w:tplc="0B40D9E4">
      <w:numFmt w:val="bullet"/>
      <w:lvlText w:val="•"/>
      <w:lvlJc w:val="left"/>
      <w:pPr>
        <w:ind w:left="1766" w:hanging="360"/>
      </w:pPr>
      <w:rPr>
        <w:rFonts w:hint="default"/>
        <w:lang w:val="en-US" w:eastAsia="en-US" w:bidi="ar-SA"/>
      </w:rPr>
    </w:lvl>
    <w:lvl w:ilvl="2" w:tplc="C150D2C2">
      <w:numFmt w:val="bullet"/>
      <w:lvlText w:val="•"/>
      <w:lvlJc w:val="left"/>
      <w:pPr>
        <w:ind w:left="2672" w:hanging="360"/>
      </w:pPr>
      <w:rPr>
        <w:rFonts w:hint="default"/>
        <w:lang w:val="en-US" w:eastAsia="en-US" w:bidi="ar-SA"/>
      </w:rPr>
    </w:lvl>
    <w:lvl w:ilvl="3" w:tplc="1472D8AC">
      <w:numFmt w:val="bullet"/>
      <w:lvlText w:val="•"/>
      <w:lvlJc w:val="left"/>
      <w:pPr>
        <w:ind w:left="3579" w:hanging="360"/>
      </w:pPr>
      <w:rPr>
        <w:rFonts w:hint="default"/>
        <w:lang w:val="en-US" w:eastAsia="en-US" w:bidi="ar-SA"/>
      </w:rPr>
    </w:lvl>
    <w:lvl w:ilvl="4" w:tplc="DDD4CC4C">
      <w:numFmt w:val="bullet"/>
      <w:lvlText w:val="•"/>
      <w:lvlJc w:val="left"/>
      <w:pPr>
        <w:ind w:left="4485" w:hanging="360"/>
      </w:pPr>
      <w:rPr>
        <w:rFonts w:hint="default"/>
        <w:lang w:val="en-US" w:eastAsia="en-US" w:bidi="ar-SA"/>
      </w:rPr>
    </w:lvl>
    <w:lvl w:ilvl="5" w:tplc="059C8D78">
      <w:numFmt w:val="bullet"/>
      <w:lvlText w:val="•"/>
      <w:lvlJc w:val="left"/>
      <w:pPr>
        <w:ind w:left="5391" w:hanging="360"/>
      </w:pPr>
      <w:rPr>
        <w:rFonts w:hint="default"/>
        <w:lang w:val="en-US" w:eastAsia="en-US" w:bidi="ar-SA"/>
      </w:rPr>
    </w:lvl>
    <w:lvl w:ilvl="6" w:tplc="B83A3754">
      <w:numFmt w:val="bullet"/>
      <w:lvlText w:val="•"/>
      <w:lvlJc w:val="left"/>
      <w:pPr>
        <w:ind w:left="6298" w:hanging="360"/>
      </w:pPr>
      <w:rPr>
        <w:rFonts w:hint="default"/>
        <w:lang w:val="en-US" w:eastAsia="en-US" w:bidi="ar-SA"/>
      </w:rPr>
    </w:lvl>
    <w:lvl w:ilvl="7" w:tplc="123494BC">
      <w:numFmt w:val="bullet"/>
      <w:lvlText w:val="•"/>
      <w:lvlJc w:val="left"/>
      <w:pPr>
        <w:ind w:left="7204" w:hanging="360"/>
      </w:pPr>
      <w:rPr>
        <w:rFonts w:hint="default"/>
        <w:lang w:val="en-US" w:eastAsia="en-US" w:bidi="ar-SA"/>
      </w:rPr>
    </w:lvl>
    <w:lvl w:ilvl="8" w:tplc="6E9CF9E0">
      <w:numFmt w:val="bullet"/>
      <w:lvlText w:val="•"/>
      <w:lvlJc w:val="left"/>
      <w:pPr>
        <w:ind w:left="8110" w:hanging="360"/>
      </w:pPr>
      <w:rPr>
        <w:rFonts w:hint="default"/>
        <w:lang w:val="en-US" w:eastAsia="en-US" w:bidi="ar-SA"/>
      </w:rPr>
    </w:lvl>
  </w:abstractNum>
  <w:abstractNum w:abstractNumId="10" w15:restartNumberingAfterBreak="0">
    <w:nsid w:val="79337BD2"/>
    <w:multiLevelType w:val="hybridMultilevel"/>
    <w:tmpl w:val="F54E3204"/>
    <w:lvl w:ilvl="0" w:tplc="515A3F32">
      <w:start w:val="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742563074">
    <w:abstractNumId w:val="0"/>
  </w:num>
  <w:num w:numId="2" w16cid:durableId="1760758184">
    <w:abstractNumId w:val="1"/>
  </w:num>
  <w:num w:numId="3" w16cid:durableId="1550846208">
    <w:abstractNumId w:val="2"/>
  </w:num>
  <w:num w:numId="4" w16cid:durableId="677000904">
    <w:abstractNumId w:val="4"/>
  </w:num>
  <w:num w:numId="5" w16cid:durableId="209000724">
    <w:abstractNumId w:val="7"/>
  </w:num>
  <w:num w:numId="6" w16cid:durableId="1450316232">
    <w:abstractNumId w:val="9"/>
  </w:num>
  <w:num w:numId="7" w16cid:durableId="1316253931">
    <w:abstractNumId w:val="5"/>
  </w:num>
  <w:num w:numId="8" w16cid:durableId="1505239163">
    <w:abstractNumId w:val="8"/>
  </w:num>
  <w:num w:numId="9" w16cid:durableId="1097100099">
    <w:abstractNumId w:val="6"/>
  </w:num>
  <w:num w:numId="10" w16cid:durableId="265382409">
    <w:abstractNumId w:val="10"/>
  </w:num>
  <w:num w:numId="11" w16cid:durableId="1297444365">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78"/>
    <w:rsid w:val="00054082"/>
    <w:rsid w:val="00207906"/>
    <w:rsid w:val="0048592B"/>
    <w:rsid w:val="00593441"/>
    <w:rsid w:val="006756FE"/>
    <w:rsid w:val="006C378E"/>
    <w:rsid w:val="00A3159C"/>
    <w:rsid w:val="00B1065E"/>
    <w:rsid w:val="00B25FC4"/>
    <w:rsid w:val="00DD32D3"/>
    <w:rsid w:val="00E52278"/>
    <w:rsid w:val="00E972F6"/>
    <w:rsid w:val="00F919FA"/>
    <w:rsid w:val="26F7C3D1"/>
    <w:rsid w:val="564C18F7"/>
    <w:rsid w:val="7686636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4:docId w14:val="350A87A3"/>
  <w15:docId w15:val="{69F61EA2-AC84-48C0-8570-DD4D86A8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Arial" w:hAnsi="Arial" w:eastAsia="Arial" w:cs="Arial"/>
    </w:rPr>
  </w:style>
  <w:style w:type="paragraph" w:styleId="Ttulo1">
    <w:name w:val="heading 1"/>
    <w:basedOn w:val="Normal"/>
    <w:uiPriority w:val="1"/>
    <w:qFormat/>
    <w:pPr>
      <w:ind w:left="1276" w:hanging="1133"/>
      <w:outlineLvl w:val="0"/>
    </w:pPr>
    <w:rPr>
      <w:b/>
      <w:bCs/>
      <w:sz w:val="24"/>
      <w:szCs w:val="24"/>
    </w:rPr>
  </w:style>
  <w:style w:type="paragraph" w:styleId="Ttulo2">
    <w:name w:val="heading 2"/>
    <w:basedOn w:val="Normal"/>
    <w:uiPriority w:val="1"/>
    <w:qFormat/>
    <w:pPr>
      <w:ind w:left="1420" w:hanging="1277"/>
      <w:jc w:val="both"/>
      <w:outlineLvl w:val="1"/>
    </w:pPr>
    <w:rPr>
      <w:b/>
      <w:bCs/>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0"/>
    </w:pPr>
    <w:rPr>
      <w:sz w:val="24"/>
      <w:szCs w:val="24"/>
    </w:rPr>
  </w:style>
  <w:style w:type="paragraph" w:styleId="Prrafodelista">
    <w:name w:val="List Paragraph"/>
    <w:basedOn w:val="Normal"/>
    <w:uiPriority w:val="34"/>
    <w:qFormat/>
    <w:pPr>
      <w:ind w:left="1276" w:hanging="360"/>
    </w:pPr>
  </w:style>
  <w:style w:type="paragraph" w:styleId="TableParagraph" w:customStyle="1">
    <w:name w:val="Table Paragraph"/>
    <w:basedOn w:val="Normal"/>
    <w:uiPriority w:val="1"/>
    <w:qFormat/>
    <w:pPr>
      <w:ind w:left="107"/>
    </w:pPr>
  </w:style>
  <w:style w:type="paragraph" w:styleId="Revisin">
    <w:name w:val="Revision"/>
    <w:hidden/>
    <w:uiPriority w:val="99"/>
    <w:semiHidden/>
    <w:rsid w:val="00593441"/>
    <w:pPr>
      <w:widowControl/>
      <w:autoSpaceDE/>
      <w:autoSpaceDN/>
    </w:pPr>
    <w:rPr>
      <w:rFonts w:ascii="Arial" w:hAnsi="Arial" w:eastAsia="Arial" w:cs="Arial"/>
    </w:rPr>
  </w:style>
  <w:style w:type="paragraph" w:styleId="NormalWeb">
    <w:name w:val="Normal (Web)"/>
    <w:basedOn w:val="Normal"/>
    <w:uiPriority w:val="99"/>
    <w:unhideWhenUsed/>
    <w:rsid w:val="00593441"/>
    <w:pPr>
      <w:widowControl/>
      <w:autoSpaceDE/>
      <w:autoSpaceDN/>
      <w:spacing w:before="100" w:beforeAutospacing="1" w:after="100" w:afterAutospacing="1"/>
    </w:pPr>
    <w:rPr>
      <w:rFonts w:ascii="Times New Roman" w:hAnsi="Times New Roman" w:eastAsia="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microsoft.com/office/2011/relationships/people" Target="people.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2bsecure.grtgroup.com/"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Grnenthal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Procedure Template English</dc:title>
  <dc:creator>MasterControl DocAdmin</dc:creator>
  <keywords>, docId:9E607666667A69D52ECDA109A957B4DB</keywords>
  <lastModifiedBy>Erik Mateos</lastModifiedBy>
  <revision>8</revision>
  <dcterms:created xsi:type="dcterms:W3CDTF">2025-11-12T21:57:00.0000000Z</dcterms:created>
  <dcterms:modified xsi:type="dcterms:W3CDTF">2026-04-22T17:56:17.8795116Z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0x010100043E604A65A518498E02032A10994A56</vt:lpwstr>
  </property>
  <property fmtid="{D5CDD505-2E9C-101B-9397-08002B2CF9AE}" pid="3" name="Created">
    <vt:filetime>2022-01-31T00:00:00Z</vt:filetime>
  </property>
  <property fmtid="{D5CDD505-2E9C-101B-9397-08002B2CF9AE}" pid="4" name="Creator">
    <vt:lpwstr>Acrobat PDFMaker 21 für Word</vt:lpwstr>
  </property>
  <property fmtid="{D5CDD505-2E9C-101B-9397-08002B2CF9AE}" pid="5" name="LastSaved">
    <vt:filetime>2025-10-09T00:00:00Z</vt:filetime>
  </property>
  <property fmtid="{D5CDD505-2E9C-101B-9397-08002B2CF9AE}" pid="6" name="MC_Author">
    <vt:lpwstr>ES01391</vt:lpwstr>
  </property>
  <property fmtid="{D5CDD505-2E9C-101B-9397-08002B2CF9AE}" pid="7" name="MC_CF_Country">
    <vt:lpwstr>Germany</vt:lpwstr>
  </property>
  <property fmtid="{D5CDD505-2E9C-101B-9397-08002B2CF9AE}" pid="8" name="MC_CF_Country Scope">
    <vt:lpwstr>Local</vt:lpwstr>
  </property>
  <property fmtid="{D5CDD505-2E9C-101B-9397-08002B2CF9AE}" pid="9" name="MC_CF_English title">
    <vt:lpwstr>SOP on the Retention of Personal Data</vt:lpwstr>
  </property>
  <property fmtid="{D5CDD505-2E9C-101B-9397-08002B2CF9AE}" pid="10" name="MC_CF_Language">
    <vt:lpwstr>English, German</vt:lpwstr>
  </property>
  <property fmtid="{D5CDD505-2E9C-101B-9397-08002B2CF9AE}" pid="11" name="MC_CF_Procedure Type">
    <vt:lpwstr>SOP</vt:lpwstr>
  </property>
  <property fmtid="{D5CDD505-2E9C-101B-9397-08002B2CF9AE}" pid="12" name="MC_CF_Process">
    <vt:lpwstr>Data Management, Legal, Information Technology, Compliance</vt:lpwstr>
  </property>
  <property fmtid="{D5CDD505-2E9C-101B-9397-08002B2CF9AE}" pid="13" name="MC_CF_Regulatory Area">
    <vt:lpwstr>_None</vt:lpwstr>
  </property>
  <property fmtid="{D5CDD505-2E9C-101B-9397-08002B2CF9AE}" pid="14" name="MC_CreatedDate">
    <vt:lpwstr>07 Dec 2021</vt:lpwstr>
  </property>
  <property fmtid="{D5CDD505-2E9C-101B-9397-08002B2CF9AE}" pid="15" name="MC_EffectiveDate">
    <vt:lpwstr/>
  </property>
  <property fmtid="{D5CDD505-2E9C-101B-9397-08002B2CF9AE}" pid="16" name="MC_ExpirationDate">
    <vt:lpwstr/>
  </property>
  <property fmtid="{D5CDD505-2E9C-101B-9397-08002B2CF9AE}" pid="17" name="MC_NextReviewDate">
    <vt:lpwstr/>
  </property>
  <property fmtid="{D5CDD505-2E9C-101B-9397-08002B2CF9AE}" pid="18" name="MC_Notes">
    <vt:lpwstr/>
  </property>
  <property fmtid="{D5CDD505-2E9C-101B-9397-08002B2CF9AE}" pid="19" name="MC_Number">
    <vt:lpwstr>PROC-007000</vt:lpwstr>
  </property>
  <property fmtid="{D5CDD505-2E9C-101B-9397-08002B2CF9AE}" pid="20" name="MC_Owner">
    <vt:lpwstr>DE87780</vt:lpwstr>
  </property>
  <property fmtid="{D5CDD505-2E9C-101B-9397-08002B2CF9AE}" pid="21" name="MC_ReleaseDate">
    <vt:lpwstr/>
  </property>
  <property fmtid="{D5CDD505-2E9C-101B-9397-08002B2CF9AE}" pid="22" name="MC_Revision">
    <vt:lpwstr>01</vt:lpwstr>
  </property>
  <property fmtid="{D5CDD505-2E9C-101B-9397-08002B2CF9AE}" pid="23" name="MC_Status">
    <vt:lpwstr>Draft</vt:lpwstr>
  </property>
  <property fmtid="{D5CDD505-2E9C-101B-9397-08002B2CF9AE}" pid="24" name="MC_Title">
    <vt:lpwstr>SOP on the Retention of Personal Data</vt:lpwstr>
  </property>
  <property fmtid="{D5CDD505-2E9C-101B-9397-08002B2CF9AE}" pid="25" name="MC_Vault">
    <vt:lpwstr>Procedure-dft</vt:lpwstr>
  </property>
  <property fmtid="{D5CDD505-2E9C-101B-9397-08002B2CF9AE}" pid="26" name="MSIP_Label_1f22b0d6-cb08-48e4-b81e-c118f64f4880_ActionId">
    <vt:lpwstr>577fd2dc-e634-4c9c-beb9-58351bceb278</vt:lpwstr>
  </property>
  <property fmtid="{D5CDD505-2E9C-101B-9397-08002B2CF9AE}" pid="27" name="MSIP_Label_1f22b0d6-cb08-48e4-b81e-c118f64f4880_Application">
    <vt:lpwstr>Microsoft Azure Information Protection</vt:lpwstr>
  </property>
  <property fmtid="{D5CDD505-2E9C-101B-9397-08002B2CF9AE}" pid="28" name="MSIP_Label_1f22b0d6-cb08-48e4-b81e-c118f64f4880_Enabled">
    <vt:lpwstr>True</vt:lpwstr>
  </property>
  <property fmtid="{D5CDD505-2E9C-101B-9397-08002B2CF9AE}" pid="29" name="MSIP_Label_1f22b0d6-cb08-48e4-b81e-c118f64f4880_Extended_MSFT_Method">
    <vt:lpwstr>Automatic</vt:lpwstr>
  </property>
  <property fmtid="{D5CDD505-2E9C-101B-9397-08002B2CF9AE}" pid="30" name="MSIP_Label_1f22b0d6-cb08-48e4-b81e-c118f64f4880_Name">
    <vt:lpwstr>Business Use</vt:lpwstr>
  </property>
  <property fmtid="{D5CDD505-2E9C-101B-9397-08002B2CF9AE}" pid="31" name="MSIP_Label_1f22b0d6-cb08-48e4-b81e-c118f64f4880_Owner">
    <vt:lpwstr>Claudia.Clemens@grunenthal.com</vt:lpwstr>
  </property>
  <property fmtid="{D5CDD505-2E9C-101B-9397-08002B2CF9AE}" pid="32" name="MSIP_Label_1f22b0d6-cb08-48e4-b81e-c118f64f4880_SetDate">
    <vt:lpwstr>2020-03-11T08:26:23.8982771Z</vt:lpwstr>
  </property>
  <property fmtid="{D5CDD505-2E9C-101B-9397-08002B2CF9AE}" pid="33" name="MSIP_Label_1f22b0d6-cb08-48e4-b81e-c118f64f4880_SiteId">
    <vt:lpwstr>1aa3f197-39d5-4269-bcea-93372aa086d9</vt:lpwstr>
  </property>
  <property fmtid="{D5CDD505-2E9C-101B-9397-08002B2CF9AE}" pid="34" name="Producer">
    <vt:lpwstr>Adobe PDF Library 21.11.71</vt:lpwstr>
  </property>
  <property fmtid="{D5CDD505-2E9C-101B-9397-08002B2CF9AE}" pid="35" name="Sensitivity">
    <vt:lpwstr>Business Use</vt:lpwstr>
  </property>
  <property fmtid="{D5CDD505-2E9C-101B-9397-08002B2CF9AE}" pid="36" name="SourceModified">
    <vt:lpwstr>D:20220131075117</vt:lpwstr>
  </property>
</Properties>
</file>