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Contrato individual por tiempo determinado - referencia C4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521-527</w:t>
      </w:r>
    </w:p>
    <w:p>
      <w:r>
        <w:rPr>
          <w:b/>
          <w:bCs/>
        </w:rPr>
        <w:t xml:space="preserve">Área: </w:t>
      </w:r>
      <w:r>
        <w:t xml:space="preserve">Human Resources</w:t>
      </w:r>
    </w:p>
    <w:p>
      <w:pPr>
        <w:pStyle w:val="Heading1"/>
      </w:pPr>
      <w:r>
        <w:t xml:space="preserve">Extracto individual</w:t>
      </w:r>
    </w:p>
    <w:p>
      <w:r>
        <w:t xml:space="preserve">(Empleado tiempo determinado)</w:t>
      </w:r>
    </w:p>
    <w:p>
      <w:r>
        <w:t xml:space="preserve">Contrato Individual por tiempo determinado.</w:t>
      </w:r>
    </w:p>
    <w:p>
      <w:r>
        <w:t xml:space="preserve">N/A</w:t>
      </w:r>
    </w:p>
    <w:p>
      <w:r>
        <w:t xml:space="preserve">(1)  Décima primera</w:t>
      </w:r>
    </w:p>
    <w:p>
      <w:r>
        <w:t xml:space="preserve">(2) Décima tercera.</w:t>
      </w:r>
    </w:p>
    <w:p>
      <w:r>
        <w:t xml:space="preserve">N/A</w:t>
      </w:r>
    </w:p>
    <w:p>
      <w:r>
        <w:t xml:space="preserve">Se sugiere emplear la cláusula C4 del Manual de Relaciones con Terceros donde se delimitan con amplio detalle las obligaciones de los trabajadores en materia de datos personales.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2026-06-18T15:43:50.389Z</dcterms:created>
  <dcterms:modified xsi:type="dcterms:W3CDTF">2026-06-18T15:43:50.389Z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