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GRT-TER-2026-001 · CID CENTRO INTEGRADOR DE DATOS, S.A. DE C.V. (Knobloch)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246-255</w:t>
      </w:r>
    </w:p>
    <w:p>
      <w:r>
        <w:rPr>
          <w:b/>
          <w:bCs/>
        </w:rPr>
        <w:t xml:space="preserve">Área: </w:t>
      </w:r>
      <w:r>
        <w:t xml:space="preserve">COMEX</w:t>
      </w:r>
    </w:p>
    <w:p>
      <w:pPr>
        <w:pStyle w:val="Heading1"/>
      </w:pPr>
      <w:r>
        <w:t xml:space="preserve">Extracto individual</w:t>
      </w:r>
    </w:p>
    <w:p>
      <w:r>
        <w:t xml:space="preserve">CID CENTRO INTEGRADOR DE DATOS, S.A. DE C.V.</w:t>
      </w:r>
    </w:p>
    <w:p>
      <w:r>
        <w:t xml:space="preserve">(Knobloch)</w:t>
      </w:r>
    </w:p>
    <w:p>
      <w:r>
        <w:t xml:space="preserve">Contrato de prestación de servicios para la entrega de base de datos electrónica.</w:t>
      </w:r>
    </w:p>
    <w:p>
      <w:r>
        <w:t xml:space="preserve">Transferencia (GRT como Responsable Receptor)</w:t>
      </w:r>
    </w:p>
    <w:p>
      <w:r>
        <w:t xml:space="preserve">(1) Vigésima Primera. Protección de Datos Personales</w:t>
      </w:r>
    </w:p>
    <w:p>
      <w:r>
        <w:t xml:space="preserve"> 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En su lugar, se sugiere emplear la cláusula C2 del Manual de Relaciones con Terceros y/o en su caso, los apéndices 2 CM-2 o 3 C-2 del mismo donde el Responsable Receptor garantiza la legalidad de la transferencia de datos personales.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2026-06-18T15:43:50.254Z</dcterms:created>
  <dcterms:modified xsi:type="dcterms:W3CDTF">2026-06-18T15:43:50.254Z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