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GRT-TER-2026-008 · CENTRAL MEDIA, S.C.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334-341</w:t>
      </w:r>
    </w:p>
    <w:p>
      <w:r>
        <w:rPr>
          <w:b/>
          <w:bCs/>
        </w:rPr>
        <w:t xml:space="preserve">Área: </w:t>
      </w:r>
      <w:r>
        <w:t xml:space="preserve">DIGITAL</w:t>
      </w:r>
    </w:p>
    <w:p>
      <w:pPr>
        <w:pStyle w:val="Heading1"/>
      </w:pPr>
      <w:r>
        <w:t xml:space="preserve">Extracto individual</w:t>
      </w:r>
    </w:p>
    <w:p>
      <w:r>
        <w:t xml:space="preserve">CENTRAL MEDIA, S.C.</w:t>
      </w:r>
    </w:p>
    <w:p>
      <w:r>
        <w:t xml:space="preserve">Contrato de servicios de creación de contenido para Grünenthal</w:t>
      </w:r>
    </w:p>
    <w:p>
      <w:r>
        <w:t xml:space="preserve">Remisión</w:t>
      </w:r>
    </w:p>
    <w:p>
      <w:r>
        <w:t xml:space="preserve">(1) Vigésimo. Protección de datos personales</w:t>
      </w:r>
    </w:p>
    <w:p>
      <w:r>
        <w:t xml:space="preserve">No cumple</w:t>
      </w:r>
    </w:p>
    <w:p>
      <w:r>
        <w:t xml:space="preserve">La falta de cláusula o instrumento jurídico puede implicar una violación al principio de responsabilidad establecido por la LFPDPPP.</w:t>
      </w:r>
    </w:p>
    <w:p>
      <w:r>
        <w:t xml:space="preserve"> </w:t>
      </w:r>
    </w:p>
    <w:p>
      <w:r>
        <w:t xml:space="preserve">Se sugiere emplear la cláusula C1 del Manual de Relaciones con Terceros y/o en su caso, los apéndices 2 CM-1 o 3 C-1 del mismo donde se delimitan con amplio detalle las obligaciones del Encargado.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2026-06-18T15:43:50.284Z</dcterms:created>
  <dcterms:modified xsi:type="dcterms:W3CDTF">2026-06-18T15:43:50.284Z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