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GRT-TER-2026-011 · LEASEPLAN DE MÉXICO,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369-382</w:t>
      </w:r>
    </w:p>
    <w:p>
      <w:r>
        <w:rPr>
          <w:b/>
          <w:bCs/>
        </w:rPr>
        <w:t xml:space="preserve">Área: </w:t>
      </w:r>
      <w:r>
        <w:t xml:space="preserve">FLOTILLA</w:t>
      </w:r>
    </w:p>
    <w:p>
      <w:pPr>
        <w:pStyle w:val="Heading1"/>
      </w:pPr>
      <w:r>
        <w:t xml:space="preserve">Extracto individual</w:t>
      </w:r>
    </w:p>
    <w:p>
      <w:r>
        <w:t xml:space="preserve">LEASEPLAN DE MÉXICO, S.A. DE C.V.</w:t>
      </w:r>
    </w:p>
    <w:p>
      <w:r>
        <w:t xml:space="preserve">Contrato maestro de arrendamiento puro y servicios de gestión de flota.</w:t>
      </w:r>
    </w:p>
    <w:p>
      <w:r>
        <w:t xml:space="preserve">(1) Remisión (por la prestación de servicios de gestión de flotilla.)</w:t>
      </w:r>
    </w:p>
    <w:p>
      <w:r>
        <w:t xml:space="preserve"> </w:t>
      </w:r>
    </w:p>
    <w:p>
      <w:r>
        <w:t xml:space="preserve">(2) Transferencia (si el Conductor /Empleado ejerce su derecho de adquisición de auto.  )</w:t>
      </w:r>
    </w:p>
    <w:p>
      <w:r>
        <w:t xml:space="preserve">No se encontró cláusula relativa</w:t>
      </w:r>
    </w:p>
    <w:p>
      <w:r>
        <w:t xml:space="preserve">No cumple</w:t>
      </w:r>
    </w:p>
    <w:p>
      <w:r>
        <w:t xml:space="preserve">El contrato maestro que regula la gestión de flota no cumple con los requisitos de la LFPDPPP.</w:t>
      </w:r>
    </w:p>
    <w:p>
      <w:r>
        <w:t xml:space="preserve"> </w:t>
      </w:r>
    </w:p>
    <w:p>
      <w:r>
        <w:t xml:space="preserve">Se sugiere emplear la cláusula C1 del Manual de Relaciones con Terceros y/o en su caso, los apéndices 2 CM-1 o 3 C-1 del mismo donde se delimitan con amplio detalle las obligaciones del Encargado.</w:t>
      </w:r>
    </w:p>
    <w:p>
      <w:r>
        <w:t xml:space="preserve"> </w:t>
      </w:r>
    </w:p>
    <w:p>
      <w:r>
        <w:t xml:space="preserve">Respecto al Anexo II del Derecho de Adquisión, no cumple con los requisitos de la LFPDPPP.</w:t>
      </w:r>
    </w:p>
    <w:p>
      <w:r>
        <w:t xml:space="preserve"> </w:t>
      </w:r>
    </w:p>
    <w:p>
      <w:r>
        <w:t xml:space="preserve">Se sugiere emplear también la cláusula C2 del Manual de Relaciones con Terceros y/o en su caso, los apéndices 2 CM-2 o 3 C-2 del mismo donde se delimitan con amplio detalle las obligaciones del Tercero que recibirá datos personales con motivo de una Transferencia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2026-06-18T15:43:50.300Z</dcterms:created>
  <dcterms:modified xsi:type="dcterms:W3CDTF">2026-06-18T15:43:50.300Z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