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GRT-TER-2026-017 · BETERFLY MÉXICO, S.A. DE C.V.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448-459</w:t>
      </w:r>
    </w:p>
    <w:p>
      <w:r>
        <w:rPr>
          <w:b/>
          <w:bCs/>
        </w:rPr>
        <w:t xml:space="preserve">Área: </w:t>
      </w:r>
      <w:r>
        <w:t xml:space="preserve">HUMAN RESOURCES</w:t>
      </w:r>
    </w:p>
    <w:p>
      <w:pPr>
        <w:pStyle w:val="Heading1"/>
      </w:pPr>
      <w:r>
        <w:t xml:space="preserve">Extracto individual</w:t>
      </w:r>
    </w:p>
    <w:p>
      <w:r>
        <w:t xml:space="preserve">BETERFLY MÉXICO, S.A. DE C.V.</w:t>
      </w:r>
    </w:p>
    <w:p>
      <w:r>
        <w:t xml:space="preserve">Contrato de suscripción a plataforma de beneficios de bienestar para trabajadores.</w:t>
      </w:r>
    </w:p>
    <w:p>
      <w:r>
        <w:t xml:space="preserve">Transferencia</w:t>
      </w:r>
    </w:p>
    <w:p>
      <w:r>
        <w:t xml:space="preserve">(1). Vigésima Primera. Protección de Datos Personales.</w:t>
      </w:r>
    </w:p>
    <w:p>
      <w:r>
        <w:t xml:space="preserve"> </w:t>
      </w:r>
    </w:p>
    <w:p>
      <w:r>
        <w:t xml:space="preserve">(2). Anexo 3. Contrato de Procesamiento de Datos.</w:t>
      </w:r>
    </w:p>
    <w:p>
      <w:r>
        <w:t xml:space="preserve"> </w:t>
      </w:r>
    </w:p>
    <w:p>
      <w:r>
        <w:t xml:space="preserve">(3) Convenio de Confidencialidad.</w:t>
      </w:r>
    </w:p>
    <w:p>
      <w:r>
        <w:t xml:space="preserve">No cumple</w:t>
      </w:r>
    </w:p>
    <w:p>
      <w:r>
        <w:t xml:space="preserve">La cláusula y anexo establecen que la comunicación de datos es una remisión, lo cual es incorrecto, ya que al ofrecer servicios Telemedicina y otros servicios independientes y ajenos a Grünenthal se debe de considerar como una transferencia de datos personales.</w:t>
      </w:r>
    </w:p>
    <w:p>
      <w:r>
        <w:t xml:space="preserve"> </w:t>
      </w:r>
    </w:p>
    <w:p>
      <w:r>
        <w:t xml:space="preserve">Se sugiere emplear la cláusula C2 del Manual de Relaciones con Terceros y/o en su caso, los apéndices 2 CM-2 o 3 C-2 del mismo donde se establece la relación entre las partes y sus obligaciones respectivas.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2026-06-18T15:43:50.325Z</dcterms:created>
  <dcterms:modified xsi:type="dcterms:W3CDTF">2026-06-18T15:43:50.325Z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