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GRT-TER-2026-019 · TOKA INTERNACIONAL, S.A.P.I. DE C.V.</w:t>
      </w:r>
    </w:p>
    <w:p>
      <w:r>
        <w:rPr>
          <w:b/>
          <w:bCs/>
        </w:rPr>
        <w:t xml:space="preserve">Cliente: </w:t>
      </w:r>
      <w:r>
        <w:t xml:space="preserve">Grünenthal</w:t>
      </w:r>
    </w:p>
    <w:p>
      <w:r>
        <w:rPr>
          <w:b/>
          <w:bCs/>
        </w:rPr>
        <w:t xml:space="preserve">Fuente: </w:t>
      </w:r>
      <w:r>
        <w:t xml:space="preserve">Análisis de Relaciones Grünenthal</w:t>
      </w:r>
    </w:p>
    <w:p>
      <w:r>
        <w:rPr>
          <w:b/>
          <w:bCs/>
        </w:rPr>
        <w:t xml:space="preserve">Archivo fuente: </w:t>
      </w:r>
      <w:r>
        <w:t xml:space="preserve">PolíticasGRT_Davara/Relaciones con Terceros/AnálisisDeRelacionesGrünenthal .docx</w:t>
      </w:r>
    </w:p>
    <w:p>
      <w:r>
        <w:rPr>
          <w:b/>
          <w:bCs/>
        </w:rPr>
        <w:t xml:space="preserve">Rango fuente: </w:t>
      </w:r>
      <w:r>
        <w:t xml:space="preserve">468-476</w:t>
      </w:r>
    </w:p>
    <w:p>
      <w:r>
        <w:rPr>
          <w:b/>
          <w:bCs/>
        </w:rPr>
        <w:t xml:space="preserve">Área: </w:t>
      </w:r>
      <w:r>
        <w:t xml:space="preserve">HUMAN RESOURCES</w:t>
      </w:r>
    </w:p>
    <w:p>
      <w:pPr>
        <w:pStyle w:val="Heading1"/>
      </w:pPr>
      <w:r>
        <w:t xml:space="preserve">Extracto individual</w:t>
      </w:r>
    </w:p>
    <w:p>
      <w:r>
        <w:t xml:space="preserve">TOKA</w:t>
      </w:r>
    </w:p>
    <w:p>
      <w:r>
        <w:t xml:space="preserve">INTERNACIONAL, S.A.P.I. DE C.V</w:t>
      </w:r>
    </w:p>
    <w:p>
      <w:r>
        <w:t xml:space="preserve">Contrato de prestación de servicios de dispersión a través de la carga y recarga de recursos económicos.</w:t>
      </w:r>
    </w:p>
    <w:p>
      <w:r>
        <w:t xml:space="preserve">Transferencia</w:t>
      </w:r>
    </w:p>
    <w:p>
      <w:r>
        <w:t xml:space="preserve">(1)  Confidencialidad</w:t>
      </w:r>
    </w:p>
    <w:p>
      <w:r>
        <w:t xml:space="preserve">No cumple</w:t>
      </w:r>
    </w:p>
    <w:p>
      <w:r>
        <w:t xml:space="preserve">La cláusula y anexo establecen que la comunicación de datos es una remisión, lo cual es incorrecto, ya que al tener que cumplir obligaciones en materia de prevención de lavado de dinero de manera independiente a GRT se deberá de establecer como transferencia de datos personales.</w:t>
      </w:r>
    </w:p>
    <w:p>
      <w:r>
        <w:t xml:space="preserve"> </w:t>
      </w:r>
    </w:p>
    <w:p>
      <w:r>
        <w:t xml:space="preserve">Se sugiere emplear la cláusula C2 del Manual de Relaciones con Terceros y/o en su caso, los apéndices 2 CM-2 o 3 C-2 del mismo donde se establece la relación entre las partes y sus obligaciones respectivas.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2026-06-18T15:43:50.333Z</dcterms:created>
  <dcterms:modified xsi:type="dcterms:W3CDTF">2026-06-18T15:43:50.333Z</dcterms:modified>
</cp:coreProperties>
</file>

<file path=docProps/custom.xml><?xml version="1.0" encoding="utf-8"?>
<Properties xmlns="http://schemas.openxmlformats.org/officeDocument/2006/custom-properties" xmlns:vt="http://schemas.openxmlformats.org/officeDocument/2006/docPropsVTypes"/>
</file>