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GRT-TER-2026-021 · SURA INVESTMENT MANAGEMENT MEXICO, S.A. DE C.V.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485-493</w:t>
      </w:r>
    </w:p>
    <w:p>
      <w:r>
        <w:rPr>
          <w:b/>
          <w:bCs/>
        </w:rPr>
        <w:t xml:space="preserve">Área: </w:t>
      </w:r>
      <w:r>
        <w:t xml:space="preserve">HUMAN RESOURCES</w:t>
      </w:r>
    </w:p>
    <w:p>
      <w:pPr>
        <w:pStyle w:val="Heading1"/>
      </w:pPr>
      <w:r>
        <w:t xml:space="preserve">Extracto individual</w:t>
      </w:r>
    </w:p>
    <w:p>
      <w:r>
        <w:t xml:space="preserve">SURA INVESTMENT MANAGEMENT MEXICO, S.A. DE C.V.</w:t>
      </w:r>
    </w:p>
    <w:p>
      <w:r>
        <w:t xml:space="preserve">Contrato de Comisión Mercantil y Prestación de Servicios.</w:t>
      </w:r>
    </w:p>
    <w:p>
      <w:r>
        <w:t xml:space="preserve">Transferencia</w:t>
      </w:r>
    </w:p>
    <w:p>
      <w:r>
        <w:t xml:space="preserve"> </w:t>
      </w:r>
    </w:p>
    <w:p>
      <w:r>
        <w:t xml:space="preserve">•	TRIGÉSIMA TERCERA. CONFIDENCIALIDAD YPROTECCIÓN ED DATOS PERSONALES</w:t>
      </w:r>
    </w:p>
    <w:p>
      <w:r>
        <w:t xml:space="preserve">No cumple</w:t>
      </w:r>
    </w:p>
    <w:p>
      <w:r>
        <w:t xml:space="preserve">La cláusula no cumple con los requisitos de la LFPDPPP.</w:t>
      </w:r>
    </w:p>
    <w:p>
      <w:r>
        <w:t xml:space="preserve"> </w:t>
      </w:r>
    </w:p>
    <w:p>
      <w:r>
        <w:t xml:space="preserve">Se sugiere emplear la cláusula C2 del Manual de Relaciones con Terceros y/o en su caso, los apéndices 2 CM-2 o 3 C-2 del mismo donde se establece la relación entre las partes y sus obligaciones respectivas.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2026-06-18T15:43:50.340Z</dcterms:created>
  <dcterms:modified xsi:type="dcterms:W3CDTF">2026-06-18T15:43:50.340Z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