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GRT-TER-2026-026 · Agencias, Asociaciones e Instituciones de Salud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565-572</w:t>
      </w:r>
    </w:p>
    <w:p>
      <w:r>
        <w:rPr>
          <w:b/>
          <w:bCs/>
        </w:rPr>
        <w:t xml:space="preserve">Área: </w:t>
      </w:r>
      <w:r>
        <w:t xml:space="preserve">PRIMARY CARE</w:t>
      </w:r>
    </w:p>
    <w:p>
      <w:pPr>
        <w:pStyle w:val="Heading1"/>
      </w:pPr>
      <w:r>
        <w:t xml:space="preserve">Extracto individual</w:t>
      </w:r>
    </w:p>
    <w:p>
      <w:r>
        <w:t xml:space="preserve">(Agencias/ Asociaciones / Instituciones de Salud. )</w:t>
      </w:r>
    </w:p>
    <w:p>
      <w:r>
        <w:t xml:space="preserve">Contrato de Patricinio</w:t>
      </w:r>
    </w:p>
    <w:p>
      <w:r>
        <w:t xml:space="preserve">Transferencia</w:t>
      </w:r>
    </w:p>
    <w:p>
      <w:r>
        <w:t xml:space="preserve">(1)  Octava. Protección de Datos Personales</w:t>
      </w:r>
    </w:p>
    <w:p>
      <w:r>
        <w:t xml:space="preserve">No cumple</w:t>
      </w:r>
    </w:p>
    <w:p>
      <w:r>
        <w:t xml:space="preserve">La cláusula no cumple con los requisitos de la LFPDPPP.</w:t>
      </w:r>
    </w:p>
    <w:p>
      <w:r>
        <w:t xml:space="preserve"> </w:t>
      </w:r>
    </w:p>
    <w:p>
      <w:r>
        <w:t xml:space="preserve">Se sugiere emplear la cláusula C2 del Manual de Relaciones con Terceros y/o en su caso, los apéndices 2 CM-2 o 3 C-2 del mismo donde se establece la relación entre las partes y sus obligaciones respectivas.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2026-06-18T15:43:50.362Z</dcterms:created>
  <dcterms:modified xsi:type="dcterms:W3CDTF">2026-06-18T15:43:50.362Z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