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b/>
          <w:color w:val="1E3A8A"/>
          <w:sz w:val="48"/>
        </w:rPr>
        <w:t>Documentación Técnica — Sistema de Solicitudes de Envío (ShippingRequestSystem)</w:t>
      </w:r>
    </w:p>
    <w:p>
      <w:r>
        <w:rPr>
          <w:b/>
        </w:rPr>
        <w:t>Versión del documento:</w:t>
      </w:r>
      <w:r>
        <w:t xml:space="preserve"> 1.0 · </w:t>
      </w:r>
      <w:r>
        <w:rPr>
          <w:b/>
        </w:rPr>
        <w:t>Fecha:</w:t>
      </w:r>
      <w:r>
        <w:t xml:space="preserve"> 2026-10-26 · </w:t>
      </w:r>
      <w:r>
        <w:rPr>
          <w:b/>
        </w:rPr>
        <w:t>Repositorio:</w:t>
      </w:r>
      <w:r>
        <w:t xml:space="preserve"> </w:t>
      </w:r>
      <w:r>
        <w:rPr>
          <w:rFonts w:ascii="Consolas" w:hAnsi="Consolas" w:eastAsia="Consolas"/>
          <w:color w:val="9F1239"/>
          <w:sz w:val="20"/>
        </w:rPr>
        <w:t>ShippingRequestSystem</w:t>
      </w:r>
      <w:r>
        <w:t xml:space="preserve"> (rama </w:t>
      </w:r>
      <w:r>
        <w:rPr>
          <w:rFonts w:ascii="Consolas" w:hAnsi="Consolas" w:eastAsia="Consolas"/>
          <w:color w:val="9F1239"/>
          <w:sz w:val="20"/>
        </w:rPr>
        <w:t>main</w:t>
      </w:r>
      <w:r>
        <w:t>)</w:t>
      </w:r>
    </w:p>
    <w:p>
      <w:pPr>
        <w:pStyle w:val="Heading1"/>
      </w:pPr>
      <w:r>
        <w:t>1. Resumen del sistema</w:t>
      </w:r>
    </w:p>
    <w:p>
      <w:r>
        <w:t>Aplicación interna de MEAX para solicitar, cotizar, aprobar y dar seguimiento a envíos de material (nacionales e internacionales). Un solicitante captura el envío; Trade Staff sube las cotizaciones de paquetería; el solicitante elige una; si aplica se llena un formulario de Premium Freight; y la solicitud recorre una cadena formal de aprobación hasta quedar aprobada o rechazada.</w:t>
      </w:r>
    </w:p>
    <w:p>
      <w:r>
        <w:t xml:space="preserve">Se despliega como </w:t>
      </w:r>
      <w:r>
        <w:rPr>
          <w:b/>
        </w:rPr>
        <w:t>sub-aplicación de IIS</w:t>
      </w:r>
      <w:r>
        <w:t xml:space="preserve"> (</w:t>
      </w:r>
      <w:r>
        <w:rPr>
          <w:rFonts w:ascii="Consolas" w:hAnsi="Consolas" w:eastAsia="Consolas"/>
          <w:color w:val="9F1239"/>
          <w:sz w:val="20"/>
        </w:rPr>
        <w:t>http://meax.one/ShippingRequest</w:t>
      </w:r>
      <w:r>
        <w:t xml:space="preserve">) y se integra con </w:t>
      </w:r>
      <w:r>
        <w:rPr>
          <w:b/>
        </w:rPr>
        <w:t>Meax One (meaxHub)</w:t>
      </w:r>
      <w:r>
        <w:t xml:space="preserve"> para el inicio de sesión (SSO).</w:t>
      </w:r>
    </w:p>
    <w:p>
      <w:pPr>
        <w:pStyle w:val="Heading1"/>
      </w:pPr>
      <w:r>
        <w:t>2. Stack tecnológico</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Capa</w:t>
            </w:r>
          </w:p>
        </w:tc>
        <w:tc>
          <w:tcPr>
            <w:tcW w:type="dxa" w:w="4873"/>
            <w:shd w:val="clear" w:color="auto" w:fill="1E3A8A"/>
          </w:tcPr>
          <w:p>
            <w:pPr>
              <w:spacing w:after="40"/>
            </w:pPr>
            <w:r>
              <w:rPr>
                <w:b/>
                <w:color w:val="FFFFFF"/>
                <w:sz w:val="18"/>
              </w:rPr>
              <w:t>Tecnología</w:t>
            </w:r>
          </w:p>
        </w:tc>
      </w:tr>
      <w:tr>
        <w:tc>
          <w:tcPr>
            <w:tcW w:type="dxa" w:w="4873"/>
          </w:tcPr>
          <w:p>
            <w:pPr>
              <w:spacing w:after="40"/>
            </w:pPr>
            <w:r>
              <w:rPr>
                <w:sz w:val="18"/>
              </w:rPr>
              <w:t>Plataforma</w:t>
            </w:r>
          </w:p>
        </w:tc>
        <w:tc>
          <w:tcPr>
            <w:tcW w:type="dxa" w:w="4873"/>
          </w:tcPr>
          <w:p>
            <w:pPr>
              <w:spacing w:after="40"/>
            </w:pPr>
            <w:r>
              <w:rPr>
                <w:sz w:val="18"/>
              </w:rPr>
              <w:t>.NET 8 (</w:t>
            </w:r>
            <w:r>
              <w:rPr>
                <w:rFonts w:ascii="Consolas" w:hAnsi="Consolas" w:eastAsia="Consolas"/>
                <w:color w:val="9F1239"/>
                <w:sz w:val="17"/>
              </w:rPr>
              <w:t>net8.0</w:t>
            </w:r>
            <w:r>
              <w:rPr>
                <w:sz w:val="18"/>
              </w:rPr>
              <w:t>)</w:t>
            </w:r>
          </w:p>
        </w:tc>
      </w:tr>
      <w:tr>
        <w:tc>
          <w:tcPr>
            <w:tcW w:type="dxa" w:w="4873"/>
            <w:shd w:val="clear" w:color="auto" w:fill="F1F5FB"/>
          </w:tcPr>
          <w:p>
            <w:pPr>
              <w:spacing w:after="40"/>
            </w:pPr>
            <w:r>
              <w:rPr>
                <w:sz w:val="18"/>
              </w:rPr>
              <w:t>Interfaz</w:t>
            </w:r>
          </w:p>
        </w:tc>
        <w:tc>
          <w:tcPr>
            <w:tcW w:type="dxa" w:w="4873"/>
            <w:shd w:val="clear" w:color="auto" w:fill="F1F5FB"/>
          </w:tcPr>
          <w:p>
            <w:pPr>
              <w:spacing w:after="40"/>
            </w:pPr>
            <w:r>
              <w:rPr>
                <w:sz w:val="18"/>
              </w:rPr>
              <w:t>Blazor Web App con render interactivo de servidor (Interactive Server)</w:t>
            </w:r>
          </w:p>
        </w:tc>
      </w:tr>
      <w:tr>
        <w:tc>
          <w:tcPr>
            <w:tcW w:type="dxa" w:w="4873"/>
          </w:tcPr>
          <w:p>
            <w:pPr>
              <w:spacing w:after="40"/>
            </w:pPr>
            <w:r>
              <w:rPr>
                <w:sz w:val="18"/>
              </w:rPr>
              <w:t>Acceso a datos</w:t>
            </w:r>
          </w:p>
        </w:tc>
        <w:tc>
          <w:tcPr>
            <w:tcW w:type="dxa" w:w="4873"/>
          </w:tcPr>
          <w:p>
            <w:pPr>
              <w:spacing w:after="40"/>
            </w:pPr>
            <w:r>
              <w:rPr>
                <w:sz w:val="18"/>
              </w:rPr>
              <w:t>Entity Framework Core 8 + SQL Server</w:t>
            </w:r>
          </w:p>
        </w:tc>
      </w:tr>
      <w:tr>
        <w:tc>
          <w:tcPr>
            <w:tcW w:type="dxa" w:w="4873"/>
            <w:shd w:val="clear" w:color="auto" w:fill="F1F5FB"/>
          </w:tcPr>
          <w:p>
            <w:pPr>
              <w:spacing w:after="40"/>
            </w:pPr>
            <w:r>
              <w:rPr>
                <w:sz w:val="18"/>
              </w:rPr>
              <w:t>Autenticación</w:t>
            </w:r>
          </w:p>
        </w:tc>
        <w:tc>
          <w:tcPr>
            <w:tcW w:type="dxa" w:w="4873"/>
            <w:shd w:val="clear" w:color="auto" w:fill="F1F5FB"/>
          </w:tcPr>
          <w:p>
            <w:pPr>
              <w:spacing w:after="40"/>
            </w:pPr>
            <w:r>
              <w:rPr>
                <w:sz w:val="18"/>
              </w:rPr>
              <w:t>JWT HS256 del hub Meax One + cookie local de sesión</w:t>
            </w:r>
          </w:p>
        </w:tc>
      </w:tr>
      <w:tr>
        <w:tc>
          <w:tcPr>
            <w:tcW w:type="dxa" w:w="4873"/>
          </w:tcPr>
          <w:p>
            <w:pPr>
              <w:spacing w:after="40"/>
            </w:pPr>
            <w:r>
              <w:rPr>
                <w:sz w:val="18"/>
              </w:rPr>
              <w:t>Estilos</w:t>
            </w:r>
          </w:p>
        </w:tc>
        <w:tc>
          <w:tcPr>
            <w:tcW w:type="dxa" w:w="4873"/>
          </w:tcPr>
          <w:p>
            <w:pPr>
              <w:spacing w:after="40"/>
            </w:pPr>
            <w:r>
              <w:rPr>
                <w:sz w:val="18"/>
              </w:rPr>
              <w:t>Sistema de diseño MEAX One (</w:t>
            </w:r>
            <w:r>
              <w:rPr>
                <w:rFonts w:ascii="Consolas" w:hAnsi="Consolas" w:eastAsia="Consolas"/>
                <w:color w:val="9F1239"/>
                <w:sz w:val="17"/>
              </w:rPr>
              <w:t>meaxone-template.css</w:t>
            </w:r>
            <w:r>
              <w:rPr>
                <w:sz w:val="18"/>
              </w:rPr>
              <w:t xml:space="preserve">, clases </w:t>
            </w:r>
            <w:r>
              <w:rPr>
                <w:rFonts w:ascii="Consolas" w:hAnsi="Consolas" w:eastAsia="Consolas"/>
                <w:color w:val="9F1239"/>
                <w:sz w:val="17"/>
              </w:rPr>
              <w:t>mo-*</w:t>
            </w:r>
            <w:r>
              <w:rPr>
                <w:sz w:val="18"/>
              </w:rPr>
              <w:t>)</w:t>
            </w:r>
          </w:p>
        </w:tc>
      </w:tr>
      <w:tr>
        <w:tc>
          <w:tcPr>
            <w:tcW w:type="dxa" w:w="4873"/>
            <w:shd w:val="clear" w:color="auto" w:fill="F1F5FB"/>
          </w:tcPr>
          <w:p>
            <w:pPr>
              <w:spacing w:after="40"/>
            </w:pPr>
            <w:r>
              <w:rPr>
                <w:sz w:val="18"/>
              </w:rPr>
              <w:t>Hospedaje</w:t>
            </w:r>
          </w:p>
        </w:tc>
        <w:tc>
          <w:tcPr>
            <w:tcW w:type="dxa" w:w="4873"/>
            <w:shd w:val="clear" w:color="auto" w:fill="F1F5FB"/>
          </w:tcPr>
          <w:p>
            <w:pPr>
              <w:spacing w:after="40"/>
            </w:pPr>
            <w:r>
              <w:rPr>
                <w:sz w:val="18"/>
              </w:rPr>
              <w:t xml:space="preserve">IIS (ASP.NET Core Module) en </w:t>
            </w:r>
            <w:r>
              <w:rPr>
                <w:rFonts w:ascii="Consolas" w:hAnsi="Consolas" w:eastAsia="Consolas"/>
                <w:color w:val="9F1239"/>
                <w:sz w:val="17"/>
              </w:rPr>
              <w:t>MEAXS066</w:t>
            </w:r>
          </w:p>
        </w:tc>
      </w:tr>
    </w:tbl>
    <w:p>
      <w:pPr>
        <w:spacing w:after="40"/>
      </w:pPr>
    </w:p>
    <w:p>
      <w:r>
        <w:t xml:space="preserve">Paquetes NuGet principales: </w:t>
      </w:r>
      <w:r>
        <w:rPr>
          <w:rFonts w:ascii="Consolas" w:hAnsi="Consolas" w:eastAsia="Consolas"/>
          <w:color w:val="9F1239"/>
          <w:sz w:val="20"/>
        </w:rPr>
        <w:t>Microsoft.AspNetCore.Authentication.JwtBearer</w:t>
      </w:r>
      <w:r>
        <w:t xml:space="preserve"> 8.0.11, </w:t>
      </w:r>
      <w:r>
        <w:rPr>
          <w:rFonts w:ascii="Consolas" w:hAnsi="Consolas" w:eastAsia="Consolas"/>
          <w:color w:val="9F1239"/>
          <w:sz w:val="20"/>
        </w:rPr>
        <w:t>Microsoft.EntityFrameworkCore.SqlServer</w:t>
      </w:r>
      <w:r>
        <w:t xml:space="preserve"> / </w:t>
      </w:r>
      <w:r>
        <w:rPr>
          <w:rFonts w:ascii="Consolas" w:hAnsi="Consolas" w:eastAsia="Consolas"/>
          <w:color w:val="9F1239"/>
          <w:sz w:val="20"/>
        </w:rPr>
        <w:t>.Design</w:t>
      </w:r>
      <w:r>
        <w:t xml:space="preserve"> / </w:t>
      </w:r>
      <w:r>
        <w:rPr>
          <w:rFonts w:ascii="Consolas" w:hAnsi="Consolas" w:eastAsia="Consolas"/>
          <w:color w:val="9F1239"/>
          <w:sz w:val="20"/>
        </w:rPr>
        <w:t>.Tools</w:t>
      </w:r>
      <w:r>
        <w:t xml:space="preserve"> 8.0.28.</w:t>
      </w:r>
    </w:p>
    <w:p>
      <w:pPr>
        <w:pStyle w:val="Heading1"/>
      </w:pPr>
      <w:r>
        <w:t>3. Arquitectura</w:t>
      </w:r>
    </w:p>
    <w:p>
      <w:pPr>
        <w:pStyle w:val="Heading2"/>
      </w:pPr>
      <w:r>
        <w:t>3.1 Estructura de carpetas (</w:t>
      </w:r>
      <w:r>
        <w:rPr>
          <w:rFonts w:ascii="Consolas" w:hAnsi="Consolas" w:eastAsia="Consolas"/>
          <w:color w:val="9F1239"/>
          <w:sz w:val="20"/>
        </w:rPr>
        <w:t>ShippingRequestSystem/</w:t>
      </w:r>
      <w:r>
        <w:t>)</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Carpeta</w:t>
            </w:r>
          </w:p>
        </w:tc>
        <w:tc>
          <w:tcPr>
            <w:tcW w:type="dxa" w:w="4873"/>
            <w:shd w:val="clear" w:color="auto" w:fill="1E3A8A"/>
          </w:tcPr>
          <w:p>
            <w:pPr>
              <w:spacing w:after="40"/>
            </w:pPr>
            <w:r>
              <w:rPr>
                <w:b/>
                <w:color w:val="FFFFFF"/>
                <w:sz w:val="18"/>
              </w:rPr>
              <w:t>Contenido</w:t>
            </w:r>
          </w:p>
        </w:tc>
      </w:tr>
      <w:tr>
        <w:tc>
          <w:tcPr>
            <w:tcW w:type="dxa" w:w="4873"/>
          </w:tcPr>
          <w:p>
            <w:pPr>
              <w:spacing w:after="40"/>
            </w:pPr>
            <w:r>
              <w:rPr>
                <w:rFonts w:ascii="Consolas" w:hAnsi="Consolas" w:eastAsia="Consolas"/>
                <w:color w:val="9F1239"/>
                <w:sz w:val="17"/>
              </w:rPr>
              <w:t>Auth/</w:t>
            </w:r>
          </w:p>
        </w:tc>
        <w:tc>
          <w:tcPr>
            <w:tcW w:type="dxa" w:w="4873"/>
          </w:tcPr>
          <w:p>
            <w:pPr>
              <w:spacing w:after="40"/>
            </w:pPr>
            <w:r>
              <w:rPr>
                <w:sz w:val="18"/>
              </w:rPr>
              <w:t xml:space="preserve">Autenticación: </w:t>
            </w:r>
            <w:r>
              <w:rPr>
                <w:rFonts w:ascii="Consolas" w:hAnsi="Consolas" w:eastAsia="Consolas"/>
                <w:color w:val="9F1239"/>
                <w:sz w:val="17"/>
              </w:rPr>
              <w:t>HubAuthExtensions</w:t>
            </w:r>
            <w:r>
              <w:rPr>
                <w:sz w:val="18"/>
              </w:rPr>
              <w:t xml:space="preserve"> (producción), </w:t>
            </w:r>
            <w:r>
              <w:rPr>
                <w:rFonts w:ascii="Consolas" w:hAnsi="Consolas" w:eastAsia="Consolas"/>
                <w:color w:val="9F1239"/>
                <w:sz w:val="17"/>
              </w:rPr>
              <w:t>DevAuthExtensions</w:t>
            </w:r>
            <w:r>
              <w:rPr>
                <w:sz w:val="18"/>
              </w:rPr>
              <w:t xml:space="preserve"> (desarrollo), </w:t>
            </w:r>
            <w:r>
              <w:rPr>
                <w:rFonts w:ascii="Consolas" w:hAnsi="Consolas" w:eastAsia="Consolas"/>
                <w:color w:val="9F1239"/>
                <w:sz w:val="17"/>
              </w:rPr>
              <w:t>MeaxClaims</w:t>
            </w:r>
            <w:r>
              <w:rPr>
                <w:sz w:val="18"/>
              </w:rPr>
              <w:t xml:space="preserve">, </w:t>
            </w:r>
            <w:r>
              <w:rPr>
                <w:rFonts w:ascii="Consolas" w:hAnsi="Consolas" w:eastAsia="Consolas"/>
                <w:color w:val="9F1239"/>
                <w:sz w:val="17"/>
              </w:rPr>
              <w:t>AuthMode</w:t>
            </w:r>
          </w:p>
        </w:tc>
      </w:tr>
      <w:tr>
        <w:tc>
          <w:tcPr>
            <w:tcW w:type="dxa" w:w="4873"/>
            <w:shd w:val="clear" w:color="auto" w:fill="F1F5FB"/>
          </w:tcPr>
          <w:p>
            <w:pPr>
              <w:spacing w:after="40"/>
            </w:pPr>
            <w:r>
              <w:rPr>
                <w:rFonts w:ascii="Consolas" w:hAnsi="Consolas" w:eastAsia="Consolas"/>
                <w:color w:val="9F1239"/>
                <w:sz w:val="17"/>
              </w:rPr>
              <w:t>Components/Pages/</w:t>
            </w:r>
          </w:p>
        </w:tc>
        <w:tc>
          <w:tcPr>
            <w:tcW w:type="dxa" w:w="4873"/>
            <w:shd w:val="clear" w:color="auto" w:fill="F1F5FB"/>
          </w:tcPr>
          <w:p>
            <w:pPr>
              <w:spacing w:after="40"/>
            </w:pPr>
            <w:r>
              <w:rPr>
                <w:sz w:val="18"/>
              </w:rPr>
              <w:t xml:space="preserve">Páginas (cada una con su </w:t>
            </w:r>
            <w:r>
              <w:rPr>
                <w:rFonts w:ascii="Consolas" w:hAnsi="Consolas" w:eastAsia="Consolas"/>
                <w:color w:val="9F1239"/>
                <w:sz w:val="17"/>
              </w:rPr>
              <w:t>@page</w:t>
            </w:r>
            <w:r>
              <w:rPr>
                <w:sz w:val="18"/>
              </w:rPr>
              <w:t>)</w:t>
            </w:r>
          </w:p>
        </w:tc>
      </w:tr>
      <w:tr>
        <w:tc>
          <w:tcPr>
            <w:tcW w:type="dxa" w:w="4873"/>
          </w:tcPr>
          <w:p>
            <w:pPr>
              <w:spacing w:after="40"/>
            </w:pPr>
            <w:r>
              <w:rPr>
                <w:rFonts w:ascii="Consolas" w:hAnsi="Consolas" w:eastAsia="Consolas"/>
                <w:color w:val="9F1239"/>
                <w:sz w:val="17"/>
              </w:rPr>
              <w:t>Components/Pages/Admin/</w:t>
            </w:r>
          </w:p>
        </w:tc>
        <w:tc>
          <w:tcPr>
            <w:tcW w:type="dxa" w:w="4873"/>
          </w:tcPr>
          <w:p>
            <w:pPr>
              <w:spacing w:after="40"/>
            </w:pPr>
            <w:r>
              <w:rPr>
                <w:sz w:val="18"/>
              </w:rPr>
              <w:t>Paneles de administración</w:t>
            </w:r>
          </w:p>
        </w:tc>
      </w:tr>
      <w:tr>
        <w:tc>
          <w:tcPr>
            <w:tcW w:type="dxa" w:w="4873"/>
            <w:shd w:val="clear" w:color="auto" w:fill="F1F5FB"/>
          </w:tcPr>
          <w:p>
            <w:pPr>
              <w:spacing w:after="40"/>
            </w:pPr>
            <w:r>
              <w:rPr>
                <w:rFonts w:ascii="Consolas" w:hAnsi="Consolas" w:eastAsia="Consolas"/>
                <w:color w:val="9F1239"/>
                <w:sz w:val="17"/>
              </w:rPr>
              <w:t>Components/Shared/</w:t>
            </w:r>
          </w:p>
        </w:tc>
        <w:tc>
          <w:tcPr>
            <w:tcW w:type="dxa" w:w="4873"/>
            <w:shd w:val="clear" w:color="auto" w:fill="F1F5FB"/>
          </w:tcPr>
          <w:p>
            <w:pPr>
              <w:spacing w:after="40"/>
            </w:pPr>
            <w:r>
              <w:rPr>
                <w:sz w:val="18"/>
              </w:rPr>
              <w:t>Componentes reutilizables (formularios, tablas, selector de clientes, etc.)</w:t>
            </w:r>
          </w:p>
        </w:tc>
      </w:tr>
      <w:tr>
        <w:tc>
          <w:tcPr>
            <w:tcW w:type="dxa" w:w="4873"/>
          </w:tcPr>
          <w:p>
            <w:pPr>
              <w:spacing w:after="40"/>
            </w:pPr>
            <w:r>
              <w:rPr>
                <w:rFonts w:ascii="Consolas" w:hAnsi="Consolas" w:eastAsia="Consolas"/>
                <w:color w:val="9F1239"/>
                <w:sz w:val="17"/>
              </w:rPr>
              <w:t>Components/Layout/</w:t>
            </w:r>
          </w:p>
        </w:tc>
        <w:tc>
          <w:tcPr>
            <w:tcW w:type="dxa" w:w="4873"/>
          </w:tcPr>
          <w:p>
            <w:pPr>
              <w:spacing w:after="40"/>
            </w:pPr>
            <w:r>
              <w:rPr>
                <w:rFonts w:ascii="Consolas" w:hAnsi="Consolas" w:eastAsia="Consolas"/>
                <w:color w:val="9F1239"/>
                <w:sz w:val="17"/>
              </w:rPr>
              <w:t>MainLayout</w:t>
            </w:r>
            <w:r>
              <w:rPr>
                <w:sz w:val="18"/>
              </w:rPr>
              <w:t xml:space="preserve">, </w:t>
            </w:r>
            <w:r>
              <w:rPr>
                <w:rFonts w:ascii="Consolas" w:hAnsi="Consolas" w:eastAsia="Consolas"/>
                <w:color w:val="9F1239"/>
                <w:sz w:val="17"/>
              </w:rPr>
              <w:t>NavMenu</w:t>
            </w:r>
            <w:r>
              <w:rPr>
                <w:sz w:val="18"/>
              </w:rPr>
              <w:t xml:space="preserve">, </w:t>
            </w:r>
            <w:r>
              <w:rPr>
                <w:rFonts w:ascii="Consolas" w:hAnsi="Consolas" w:eastAsia="Consolas"/>
                <w:color w:val="9F1239"/>
                <w:sz w:val="17"/>
              </w:rPr>
              <w:t>EmptyLayout</w:t>
            </w:r>
            <w:r>
              <w:rPr>
                <w:sz w:val="18"/>
              </w:rPr>
              <w:t xml:space="preserve">, </w:t>
            </w:r>
            <w:r>
              <w:rPr>
                <w:rFonts w:ascii="Consolas" w:hAnsi="Consolas" w:eastAsia="Consolas"/>
                <w:color w:val="9F1239"/>
                <w:sz w:val="17"/>
              </w:rPr>
              <w:t>DevModeBanner</w:t>
            </w:r>
          </w:p>
        </w:tc>
      </w:tr>
      <w:tr>
        <w:tc>
          <w:tcPr>
            <w:tcW w:type="dxa" w:w="4873"/>
            <w:shd w:val="clear" w:color="auto" w:fill="F1F5FB"/>
          </w:tcPr>
          <w:p>
            <w:pPr>
              <w:spacing w:after="40"/>
            </w:pPr>
            <w:r>
              <w:rPr>
                <w:rFonts w:ascii="Consolas" w:hAnsi="Consolas" w:eastAsia="Consolas"/>
                <w:color w:val="9F1239"/>
                <w:sz w:val="17"/>
              </w:rPr>
              <w:t>Controllers/</w:t>
            </w:r>
          </w:p>
        </w:tc>
        <w:tc>
          <w:tcPr>
            <w:tcW w:type="dxa" w:w="4873"/>
            <w:shd w:val="clear" w:color="auto" w:fill="F1F5FB"/>
          </w:tcPr>
          <w:p>
            <w:pPr>
              <w:spacing w:after="40"/>
            </w:pPr>
            <w:r>
              <w:rPr>
                <w:rFonts w:ascii="Consolas" w:hAnsi="Consolas" w:eastAsia="Consolas"/>
                <w:color w:val="9F1239"/>
                <w:sz w:val="17"/>
              </w:rPr>
              <w:t>AuthController</w:t>
            </w:r>
            <w:r>
              <w:rPr>
                <w:sz w:val="18"/>
              </w:rPr>
              <w:t xml:space="preserve"> (login de desarrollo y logout)</w:t>
            </w:r>
          </w:p>
        </w:tc>
      </w:tr>
      <w:tr>
        <w:tc>
          <w:tcPr>
            <w:tcW w:type="dxa" w:w="4873"/>
          </w:tcPr>
          <w:p>
            <w:pPr>
              <w:spacing w:after="40"/>
            </w:pPr>
            <w:r>
              <w:rPr>
                <w:rFonts w:ascii="Consolas" w:hAnsi="Consolas" w:eastAsia="Consolas"/>
                <w:color w:val="9F1239"/>
                <w:sz w:val="17"/>
              </w:rPr>
              <w:t>Data/</w:t>
            </w:r>
          </w:p>
        </w:tc>
        <w:tc>
          <w:tcPr>
            <w:tcW w:type="dxa" w:w="4873"/>
          </w:tcPr>
          <w:p>
            <w:pPr>
              <w:spacing w:after="40"/>
            </w:pPr>
            <w:r>
              <w:rPr>
                <w:rFonts w:ascii="Consolas" w:hAnsi="Consolas" w:eastAsia="Consolas"/>
                <w:color w:val="9F1239"/>
                <w:sz w:val="17"/>
              </w:rPr>
              <w:t>AppDbContext</w:t>
            </w:r>
          </w:p>
        </w:tc>
      </w:tr>
      <w:tr>
        <w:tc>
          <w:tcPr>
            <w:tcW w:type="dxa" w:w="4873"/>
            <w:shd w:val="clear" w:color="auto" w:fill="F1F5FB"/>
          </w:tcPr>
          <w:p>
            <w:pPr>
              <w:spacing w:after="40"/>
            </w:pPr>
            <w:r>
              <w:rPr>
                <w:rFonts w:ascii="Consolas" w:hAnsi="Consolas" w:eastAsia="Consolas"/>
                <w:color w:val="9F1239"/>
                <w:sz w:val="17"/>
              </w:rPr>
              <w:t>Models/</w:t>
            </w:r>
          </w:p>
        </w:tc>
        <w:tc>
          <w:tcPr>
            <w:tcW w:type="dxa" w:w="4873"/>
            <w:shd w:val="clear" w:color="auto" w:fill="F1F5FB"/>
          </w:tcPr>
          <w:p>
            <w:pPr>
              <w:spacing w:after="40"/>
            </w:pPr>
            <w:r>
              <w:rPr>
                <w:sz w:val="18"/>
              </w:rPr>
              <w:t>Entidades EF Core y enums</w:t>
            </w:r>
          </w:p>
        </w:tc>
      </w:tr>
      <w:tr>
        <w:tc>
          <w:tcPr>
            <w:tcW w:type="dxa" w:w="4873"/>
          </w:tcPr>
          <w:p>
            <w:pPr>
              <w:spacing w:after="40"/>
            </w:pPr>
            <w:r>
              <w:rPr>
                <w:rFonts w:ascii="Consolas" w:hAnsi="Consolas" w:eastAsia="Consolas"/>
                <w:color w:val="9F1239"/>
                <w:sz w:val="17"/>
              </w:rPr>
              <w:t>ViewModels/</w:t>
            </w:r>
          </w:p>
        </w:tc>
        <w:tc>
          <w:tcPr>
            <w:tcW w:type="dxa" w:w="4873"/>
          </w:tcPr>
          <w:p>
            <w:pPr>
              <w:spacing w:after="40"/>
            </w:pPr>
            <w:r>
              <w:rPr>
                <w:sz w:val="18"/>
              </w:rPr>
              <w:t>Modelos de captura de los formularios</w:t>
            </w:r>
          </w:p>
        </w:tc>
      </w:tr>
      <w:tr>
        <w:tc>
          <w:tcPr>
            <w:tcW w:type="dxa" w:w="4873"/>
            <w:shd w:val="clear" w:color="auto" w:fill="F1F5FB"/>
          </w:tcPr>
          <w:p>
            <w:pPr>
              <w:spacing w:after="40"/>
            </w:pPr>
            <w:r>
              <w:rPr>
                <w:rFonts w:ascii="Consolas" w:hAnsi="Consolas" w:eastAsia="Consolas"/>
                <w:color w:val="9F1239"/>
                <w:sz w:val="17"/>
              </w:rPr>
              <w:t>Services/</w:t>
            </w:r>
          </w:p>
        </w:tc>
        <w:tc>
          <w:tcPr>
            <w:tcW w:type="dxa" w:w="4873"/>
            <w:shd w:val="clear" w:color="auto" w:fill="F1F5FB"/>
          </w:tcPr>
          <w:p>
            <w:pPr>
              <w:spacing w:after="40"/>
            </w:pPr>
            <w:r>
              <w:rPr>
                <w:sz w:val="18"/>
              </w:rPr>
              <w:t>Lógica de negocio (ver sección 8)</w:t>
            </w:r>
          </w:p>
        </w:tc>
      </w:tr>
      <w:tr>
        <w:tc>
          <w:tcPr>
            <w:tcW w:type="dxa" w:w="4873"/>
          </w:tcPr>
          <w:p>
            <w:pPr>
              <w:spacing w:after="40"/>
            </w:pPr>
            <w:r>
              <w:rPr>
                <w:rFonts w:ascii="Consolas" w:hAnsi="Consolas" w:eastAsia="Consolas"/>
                <w:color w:val="9F1239"/>
                <w:sz w:val="17"/>
              </w:rPr>
              <w:t>Middleware/</w:t>
            </w:r>
          </w:p>
        </w:tc>
        <w:tc>
          <w:tcPr>
            <w:tcW w:type="dxa" w:w="4873"/>
          </w:tcPr>
          <w:p>
            <w:pPr>
              <w:spacing w:after="40"/>
            </w:pPr>
            <w:r>
              <w:rPr>
                <w:rFonts w:ascii="Consolas" w:hAnsi="Consolas" w:eastAsia="Consolas"/>
                <w:color w:val="9F1239"/>
                <w:sz w:val="17"/>
              </w:rPr>
              <w:t>RequireAuthMiddleware</w:t>
            </w:r>
          </w:p>
        </w:tc>
      </w:tr>
      <w:tr>
        <w:tc>
          <w:tcPr>
            <w:tcW w:type="dxa" w:w="4873"/>
            <w:shd w:val="clear" w:color="auto" w:fill="F1F5FB"/>
          </w:tcPr>
          <w:p>
            <w:pPr>
              <w:spacing w:after="40"/>
            </w:pPr>
            <w:r>
              <w:rPr>
                <w:rFonts w:ascii="Consolas" w:hAnsi="Consolas" w:eastAsia="Consolas"/>
                <w:color w:val="9F1239"/>
                <w:sz w:val="17"/>
              </w:rPr>
              <w:t>Helpers/</w:t>
            </w:r>
          </w:p>
        </w:tc>
        <w:tc>
          <w:tcPr>
            <w:tcW w:type="dxa" w:w="4873"/>
            <w:shd w:val="clear" w:color="auto" w:fill="F1F5FB"/>
          </w:tcPr>
          <w:p>
            <w:pPr>
              <w:spacing w:after="40"/>
            </w:pPr>
            <w:r>
              <w:rPr>
                <w:sz w:val="18"/>
              </w:rPr>
              <w:t>Extensiones de enums (nombres para mostrar, variantes de badge)</w:t>
            </w:r>
          </w:p>
        </w:tc>
      </w:tr>
      <w:tr>
        <w:tc>
          <w:tcPr>
            <w:tcW w:type="dxa" w:w="4873"/>
          </w:tcPr>
          <w:p>
            <w:pPr>
              <w:spacing w:after="40"/>
            </w:pPr>
            <w:r>
              <w:rPr>
                <w:rFonts w:ascii="Consolas" w:hAnsi="Consolas" w:eastAsia="Consolas"/>
                <w:color w:val="9F1239"/>
                <w:sz w:val="17"/>
              </w:rPr>
              <w:t>Migrations/</w:t>
            </w:r>
          </w:p>
        </w:tc>
        <w:tc>
          <w:tcPr>
            <w:tcW w:type="dxa" w:w="4873"/>
          </w:tcPr>
          <w:p>
            <w:pPr>
              <w:spacing w:after="40"/>
            </w:pPr>
            <w:r>
              <w:rPr>
                <w:sz w:val="18"/>
              </w:rPr>
              <w:t>Migraciones de EF Core</w:t>
            </w:r>
          </w:p>
        </w:tc>
      </w:tr>
      <w:tr>
        <w:tc>
          <w:tcPr>
            <w:tcW w:type="dxa" w:w="4873"/>
            <w:shd w:val="clear" w:color="auto" w:fill="F1F5FB"/>
          </w:tcPr>
          <w:p>
            <w:pPr>
              <w:spacing w:after="40"/>
            </w:pPr>
            <w:r>
              <w:rPr>
                <w:rFonts w:ascii="Consolas" w:hAnsi="Consolas" w:eastAsia="Consolas"/>
                <w:color w:val="9F1239"/>
                <w:sz w:val="17"/>
              </w:rPr>
              <w:t>wwwroot/</w:t>
            </w:r>
          </w:p>
        </w:tc>
        <w:tc>
          <w:tcPr>
            <w:tcW w:type="dxa" w:w="4873"/>
            <w:shd w:val="clear" w:color="auto" w:fill="F1F5FB"/>
          </w:tcPr>
          <w:p>
            <w:pPr>
              <w:spacing w:after="40"/>
            </w:pPr>
            <w:r>
              <w:rPr>
                <w:sz w:val="18"/>
              </w:rPr>
              <w:t xml:space="preserve">CSS, JS, imágenes, favicon y </w:t>
            </w:r>
            <w:r>
              <w:rPr>
                <w:rFonts w:ascii="Consolas" w:hAnsi="Consolas" w:eastAsia="Consolas"/>
                <w:color w:val="9F1239"/>
                <w:sz w:val="17"/>
              </w:rPr>
              <w:t>uploads/</w:t>
            </w:r>
            <w:r>
              <w:rPr>
                <w:sz w:val="18"/>
              </w:rPr>
              <w:t xml:space="preserve"> (archivos subidos)</w:t>
            </w:r>
          </w:p>
        </w:tc>
      </w:tr>
    </w:tbl>
    <w:p>
      <w:pPr>
        <w:spacing w:after="40"/>
      </w:pPr>
    </w:p>
    <w:p>
      <w:pPr>
        <w:pStyle w:val="Heading2"/>
      </w:pPr>
      <w:r>
        <w:t>3.2 Pipeline de la aplicación (</w:t>
      </w:r>
      <w:r>
        <w:rPr>
          <w:rFonts w:ascii="Consolas" w:hAnsi="Consolas" w:eastAsia="Consolas"/>
          <w:color w:val="9F1239"/>
          <w:sz w:val="20"/>
        </w:rPr>
        <w:t>Program.cs</w:t>
      </w:r>
      <w:r>
        <w:t>)</w:t>
      </w:r>
    </w:p>
    <w:p>
      <w:r>
        <w:t>Orden de middleware:</w:t>
      </w:r>
    </w:p>
    <w:p>
      <w:pPr>
        <w:pStyle w:val="ListNumber"/>
        <w:spacing w:after="40"/>
      </w:pPr>
      <w:r>
        <w:rPr>
          <w:rFonts w:ascii="Consolas" w:hAnsi="Consolas" w:eastAsia="Consolas"/>
          <w:color w:val="9F1239"/>
          <w:sz w:val="20"/>
        </w:rPr>
        <w:t>UseExceptionHandler("/Error")</w:t>
      </w:r>
      <w:r>
        <w:t xml:space="preserve"> y </w:t>
      </w:r>
      <w:r>
        <w:rPr>
          <w:rFonts w:ascii="Consolas" w:hAnsi="Consolas" w:eastAsia="Consolas"/>
          <w:color w:val="9F1239"/>
          <w:sz w:val="20"/>
        </w:rPr>
        <w:t>UseHsts()</w:t>
      </w:r>
      <w:r>
        <w:t xml:space="preserve"> (solo fuera de Development)</w:t>
      </w:r>
    </w:p>
    <w:p>
      <w:pPr>
        <w:pStyle w:val="ListNumber"/>
        <w:spacing w:after="40"/>
      </w:pPr>
      <w:r>
        <w:rPr>
          <w:rFonts w:ascii="Consolas" w:hAnsi="Consolas" w:eastAsia="Consolas"/>
          <w:color w:val="9F1239"/>
          <w:sz w:val="20"/>
        </w:rPr>
        <w:t>UseHttpsRedirection()</w:t>
      </w:r>
      <w:r>
        <w:t xml:space="preserve">, </w:t>
      </w:r>
      <w:r>
        <w:rPr>
          <w:rFonts w:ascii="Consolas" w:hAnsi="Consolas" w:eastAsia="Consolas"/>
          <w:color w:val="9F1239"/>
          <w:sz w:val="20"/>
        </w:rPr>
        <w:t>UseStaticFiles()</w:t>
      </w:r>
    </w:p>
    <w:p>
      <w:pPr>
        <w:pStyle w:val="ListNumber"/>
        <w:spacing w:after="40"/>
      </w:pPr>
      <w:r>
        <w:rPr>
          <w:rFonts w:ascii="Consolas" w:hAnsi="Consolas" w:eastAsia="Consolas"/>
          <w:color w:val="9F1239"/>
          <w:sz w:val="20"/>
        </w:rPr>
        <w:t>UseAuthentication()</w:t>
      </w:r>
    </w:p>
    <w:p>
      <w:pPr>
        <w:pStyle w:val="ListNumber"/>
        <w:spacing w:after="40"/>
      </w:pPr>
      <w:r>
        <w:rPr>
          <w:rFonts w:ascii="Consolas" w:hAnsi="Consolas" w:eastAsia="Consolas"/>
          <w:color w:val="9F1239"/>
          <w:sz w:val="20"/>
        </w:rPr>
        <w:t>UseHubSsoTokenBridge()</w:t>
      </w:r>
      <w:r>
        <w:t xml:space="preserve"> (solo modo producción)</w:t>
      </w:r>
    </w:p>
    <w:p>
      <w:pPr>
        <w:pStyle w:val="ListNumber"/>
        <w:spacing w:after="40"/>
      </w:pPr>
      <w:r>
        <w:rPr>
          <w:rFonts w:ascii="Consolas" w:hAnsi="Consolas" w:eastAsia="Consolas"/>
          <w:color w:val="9F1239"/>
          <w:sz w:val="20"/>
        </w:rPr>
        <w:t>UseAuthorization()</w:t>
      </w:r>
    </w:p>
    <w:p>
      <w:pPr>
        <w:pStyle w:val="ListNumber"/>
        <w:spacing w:after="40"/>
      </w:pPr>
      <w:r>
        <w:rPr>
          <w:rFonts w:ascii="Consolas" w:hAnsi="Consolas" w:eastAsia="Consolas"/>
          <w:color w:val="9F1239"/>
          <w:sz w:val="20"/>
        </w:rPr>
        <w:t>RequireAuthMiddleware</w:t>
      </w:r>
      <w:r>
        <w:t xml:space="preserve"> (exige sesión en toda la app)</w:t>
      </w:r>
    </w:p>
    <w:p>
      <w:pPr>
        <w:pStyle w:val="ListNumber"/>
        <w:spacing w:after="40"/>
      </w:pPr>
      <w:r>
        <w:rPr>
          <w:rFonts w:ascii="Consolas" w:hAnsi="Consolas" w:eastAsia="Consolas"/>
          <w:color w:val="9F1239"/>
          <w:sz w:val="20"/>
        </w:rPr>
        <w:t>UseAntiforgery()</w:t>
      </w:r>
      <w:r>
        <w:t xml:space="preserve">, </w:t>
      </w:r>
      <w:r>
        <w:rPr>
          <w:rFonts w:ascii="Consolas" w:hAnsi="Consolas" w:eastAsia="Consolas"/>
          <w:color w:val="9F1239"/>
          <w:sz w:val="20"/>
        </w:rPr>
        <w:t>MapControllers()</w:t>
      </w:r>
      <w:r>
        <w:t xml:space="preserve">, </w:t>
      </w:r>
      <w:r>
        <w:rPr>
          <w:rFonts w:ascii="Consolas" w:hAnsi="Consolas" w:eastAsia="Consolas"/>
          <w:color w:val="9F1239"/>
          <w:sz w:val="20"/>
        </w:rPr>
        <w:t>MapRazorComponents&lt;App&gt;().AddInteractiveServerRenderMode()</w:t>
      </w:r>
    </w:p>
    <w:p>
      <w:pPr>
        <w:pStyle w:val="Heading2"/>
      </w:pPr>
      <w:r>
        <w:t>3.3 Inyección de dependencias</w:t>
      </w:r>
    </w:p>
    <w:p>
      <w:r>
        <w:t xml:space="preserve">Servicios registrados como </w:t>
      </w:r>
      <w:r>
        <w:rPr>
          <w:i/>
        </w:rPr>
        <w:t>scoped</w:t>
      </w:r>
      <w:r>
        <w:t xml:space="preserve">: </w:t>
      </w:r>
      <w:r>
        <w:rPr>
          <w:rFonts w:ascii="Consolas" w:hAnsi="Consolas" w:eastAsia="Consolas"/>
          <w:color w:val="9F1239"/>
          <w:sz w:val="20"/>
        </w:rPr>
        <w:t>IApprovalService</w:t>
      </w:r>
      <w:r>
        <w:t xml:space="preserve">, </w:t>
      </w:r>
      <w:r>
        <w:rPr>
          <w:rFonts w:ascii="Consolas" w:hAnsi="Consolas" w:eastAsia="Consolas"/>
          <w:color w:val="9F1239"/>
          <w:sz w:val="20"/>
        </w:rPr>
        <w:t>IShippingRequestService</w:t>
      </w:r>
      <w:r>
        <w:t xml:space="preserve">, </w:t>
      </w:r>
      <w:r>
        <w:rPr>
          <w:rFonts w:ascii="Consolas" w:hAnsi="Consolas" w:eastAsia="Consolas"/>
          <w:color w:val="9F1239"/>
          <w:sz w:val="20"/>
        </w:rPr>
        <w:t>IQuoteService</w:t>
      </w:r>
      <w:r>
        <w:t xml:space="preserve">, </w:t>
      </w:r>
      <w:r>
        <w:rPr>
          <w:rFonts w:ascii="Consolas" w:hAnsi="Consolas" w:eastAsia="Consolas"/>
          <w:color w:val="9F1239"/>
          <w:sz w:val="20"/>
        </w:rPr>
        <w:t>IPermissionService</w:t>
      </w:r>
      <w:r>
        <w:t xml:space="preserve">, </w:t>
      </w:r>
      <w:r>
        <w:rPr>
          <w:rFonts w:ascii="Consolas" w:hAnsi="Consolas" w:eastAsia="Consolas"/>
          <w:color w:val="9F1239"/>
          <w:sz w:val="20"/>
        </w:rPr>
        <w:t>IPartCatalogService</w:t>
      </w:r>
      <w:r>
        <w:t xml:space="preserve">, </w:t>
      </w:r>
      <w:r>
        <w:rPr>
          <w:rFonts w:ascii="Consolas" w:hAnsi="Consolas" w:eastAsia="Consolas"/>
          <w:color w:val="9F1239"/>
          <w:sz w:val="20"/>
        </w:rPr>
        <w:t>ICustomerCatalogService</w:t>
      </w:r>
      <w:r>
        <w:t xml:space="preserve">, </w:t>
      </w:r>
      <w:r>
        <w:rPr>
          <w:rFonts w:ascii="Consolas" w:hAnsi="Consolas" w:eastAsia="Consolas"/>
          <w:color w:val="9F1239"/>
          <w:sz w:val="20"/>
        </w:rPr>
        <w:t>IEmailService</w:t>
      </w:r>
      <w:r>
        <w:t xml:space="preserve">, </w:t>
      </w:r>
      <w:r>
        <w:rPr>
          <w:rFonts w:ascii="Consolas" w:hAnsi="Consolas" w:eastAsia="Consolas"/>
          <w:color w:val="9F1239"/>
          <w:sz w:val="20"/>
        </w:rPr>
        <w:t>CurrentUserService</w:t>
      </w:r>
      <w:r>
        <w:t xml:space="preserve">, </w:t>
      </w:r>
      <w:r>
        <w:rPr>
          <w:rFonts w:ascii="Consolas" w:hAnsi="Consolas" w:eastAsia="Consolas"/>
          <w:color w:val="9F1239"/>
          <w:sz w:val="20"/>
        </w:rPr>
        <w:t>FileService</w:t>
      </w:r>
      <w:r>
        <w:t xml:space="preserve">, </w:t>
      </w:r>
      <w:r>
        <w:rPr>
          <w:rFonts w:ascii="Consolas" w:hAnsi="Consolas" w:eastAsia="Consolas"/>
          <w:color w:val="9F1239"/>
          <w:sz w:val="20"/>
        </w:rPr>
        <w:t>FolioService</w:t>
      </w:r>
      <w:r>
        <w:t xml:space="preserve">. Los servicios de datos usan </w:t>
      </w:r>
      <w:r>
        <w:rPr>
          <w:rFonts w:ascii="Consolas" w:hAnsi="Consolas" w:eastAsia="Consolas"/>
          <w:color w:val="9F1239"/>
          <w:sz w:val="20"/>
        </w:rPr>
        <w:t>IDbContextFactory&lt;AppDbContext&gt;</w:t>
      </w:r>
      <w:r>
        <w:t xml:space="preserve"> (un contexto por operación) para evitar problemas de concurrencia en Blazor Server.</w:t>
      </w:r>
    </w:p>
    <w:p>
      <w:pPr>
        <w:pStyle w:val="Heading2"/>
      </w:pPr>
      <w:r>
        <w:t>3.4 Modo de render y layout</w:t>
      </w:r>
    </w:p>
    <w:p>
      <w:r>
        <w:t xml:space="preserve">Las páginas interactivas llevan </w:t>
      </w:r>
      <w:r>
        <w:rPr>
          <w:rFonts w:ascii="Consolas" w:hAnsi="Consolas" w:eastAsia="Consolas"/>
          <w:color w:val="9F1239"/>
          <w:sz w:val="20"/>
        </w:rPr>
        <w:t>@rendermode InteractiveServer</w:t>
      </w:r>
      <w:r>
        <w:t xml:space="preserve">. </w:t>
      </w:r>
      <w:r>
        <w:rPr>
          <w:rFonts w:ascii="Consolas" w:hAnsi="Consolas" w:eastAsia="Consolas"/>
          <w:color w:val="9F1239"/>
          <w:sz w:val="20"/>
        </w:rPr>
        <w:t>MainLayout</w:t>
      </w:r>
      <w:r>
        <w:t xml:space="preserve"> es </w:t>
      </w:r>
      <w:r>
        <w:rPr>
          <w:b/>
        </w:rPr>
        <w:t>estático</w:t>
      </w:r>
      <w:r>
        <w:t xml:space="preserve"> (sin </w:t>
      </w:r>
      <w:r>
        <w:rPr>
          <w:rFonts w:ascii="Consolas" w:hAnsi="Consolas" w:eastAsia="Consolas"/>
          <w:color w:val="9F1239"/>
          <w:sz w:val="20"/>
        </w:rPr>
        <w:t>@rendermode</w:t>
      </w:r>
      <w:r>
        <w:t>): recibe el contenido de la página como parámetro y no puede ser interactivo; por eso el menú de usuario y el colapso del sidebar usan JavaScript plano (</w:t>
      </w:r>
      <w:r>
        <w:rPr>
          <w:rFonts w:ascii="Consolas" w:hAnsi="Consolas" w:eastAsia="Consolas"/>
          <w:color w:val="9F1239"/>
          <w:sz w:val="20"/>
        </w:rPr>
        <w:t>moToggleSidebar</w:t>
      </w:r>
      <w:r>
        <w:t xml:space="preserve">, </w:t>
      </w:r>
      <w:r>
        <w:rPr>
          <w:rFonts w:ascii="Consolas" w:hAnsi="Consolas" w:eastAsia="Consolas"/>
          <w:color w:val="9F1239"/>
          <w:sz w:val="20"/>
        </w:rPr>
        <w:t>moToggleUserMenu</w:t>
      </w:r>
      <w:r>
        <w:t>).</w:t>
      </w:r>
    </w:p>
    <w:p>
      <w:pPr>
        <w:pStyle w:val="Heading1"/>
      </w:pPr>
      <w:r>
        <w:t>4. Modelo de datos</w:t>
      </w:r>
    </w:p>
    <w:p>
      <w:r>
        <w:t xml:space="preserve">Base de datos: </w:t>
      </w:r>
      <w:r>
        <w:rPr>
          <w:rFonts w:ascii="Consolas" w:hAnsi="Consolas" w:eastAsia="Consolas"/>
          <w:color w:val="9F1239"/>
          <w:sz w:val="20"/>
        </w:rPr>
        <w:t>meax_db</w:t>
      </w:r>
      <w:r>
        <w:t xml:space="preserve"> en SQL Server </w:t>
      </w:r>
      <w:r>
        <w:rPr>
          <w:rFonts w:ascii="Consolas" w:hAnsi="Consolas" w:eastAsia="Consolas"/>
          <w:color w:val="9F1239"/>
          <w:sz w:val="20"/>
        </w:rPr>
        <w:t>10.228.25.66</w:t>
      </w:r>
      <w:r>
        <w:t xml:space="preserve">. Prefijo de las tablas propias: </w:t>
      </w:r>
      <w:r>
        <w:rPr>
          <w:rFonts w:ascii="Consolas" w:hAnsi="Consolas" w:eastAsia="Consolas"/>
          <w:color w:val="9F1239"/>
          <w:sz w:val="20"/>
        </w:rPr>
        <w:t>prcPurchase*</w:t>
      </w:r>
      <w:r>
        <w:t>.</w:t>
      </w:r>
    </w:p>
    <w:p>
      <w:pPr>
        <w:pStyle w:val="Heading2"/>
      </w:pPr>
      <w:r>
        <w:t>4.1 Tablas</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Tabla (entidad)</w:t>
            </w:r>
          </w:p>
        </w:tc>
        <w:tc>
          <w:tcPr>
            <w:tcW w:type="dxa" w:w="4873"/>
            <w:shd w:val="clear" w:color="auto" w:fill="1E3A8A"/>
          </w:tcPr>
          <w:p>
            <w:pPr>
              <w:spacing w:after="40"/>
            </w:pPr>
            <w:r>
              <w:rPr>
                <w:b/>
                <w:color w:val="FFFFFF"/>
                <w:sz w:val="18"/>
              </w:rPr>
              <w:t>Propósito</w:t>
            </w:r>
          </w:p>
        </w:tc>
      </w:tr>
      <w:tr>
        <w:tc>
          <w:tcPr>
            <w:tcW w:type="dxa" w:w="4873"/>
          </w:tcPr>
          <w:p>
            <w:pPr>
              <w:spacing w:after="40"/>
            </w:pPr>
            <w:r>
              <w:rPr>
                <w:rFonts w:ascii="Consolas" w:hAnsi="Consolas" w:eastAsia="Consolas"/>
                <w:color w:val="9F1239"/>
                <w:sz w:val="17"/>
              </w:rPr>
              <w:t>prcPurchaseShippingRequest</w:t>
            </w:r>
            <w:r>
              <w:rPr>
                <w:sz w:val="18"/>
              </w:rPr>
              <w:t xml:space="preserve"> (</w:t>
            </w:r>
            <w:r>
              <w:rPr>
                <w:rFonts w:ascii="Consolas" w:hAnsi="Consolas" w:eastAsia="Consolas"/>
                <w:color w:val="9F1239"/>
                <w:sz w:val="17"/>
              </w:rPr>
              <w:t>ShippingRequest</w:t>
            </w:r>
            <w:r>
              <w:rPr>
                <w:sz w:val="18"/>
              </w:rPr>
              <w:t>)</w:t>
            </w:r>
          </w:p>
        </w:tc>
        <w:tc>
          <w:tcPr>
            <w:tcW w:type="dxa" w:w="4873"/>
          </w:tcPr>
          <w:p>
            <w:pPr>
              <w:spacing w:after="40"/>
            </w:pPr>
            <w:r>
              <w:rPr>
                <w:sz w:val="18"/>
              </w:rPr>
              <w:t>Solicitud de envío (datos del solicitante, comprador, destinatario, envío, factura, pago, evidencias, estado, costo)</w:t>
            </w:r>
          </w:p>
        </w:tc>
      </w:tr>
      <w:tr>
        <w:tc>
          <w:tcPr>
            <w:tcW w:type="dxa" w:w="4873"/>
            <w:shd w:val="clear" w:color="auto" w:fill="F1F5FB"/>
          </w:tcPr>
          <w:p>
            <w:pPr>
              <w:spacing w:after="40"/>
            </w:pPr>
            <w:r>
              <w:rPr>
                <w:rFonts w:ascii="Consolas" w:hAnsi="Consolas" w:eastAsia="Consolas"/>
                <w:color w:val="9F1239"/>
                <w:sz w:val="17"/>
              </w:rPr>
              <w:t>prcPurchaseShippingPackage</w:t>
            </w:r>
            <w:r>
              <w:rPr>
                <w:sz w:val="18"/>
              </w:rPr>
              <w:t xml:space="preserve"> (</w:t>
            </w:r>
            <w:r>
              <w:rPr>
                <w:rFonts w:ascii="Consolas" w:hAnsi="Consolas" w:eastAsia="Consolas"/>
                <w:color w:val="9F1239"/>
                <w:sz w:val="17"/>
              </w:rPr>
              <w:t>ShippingPackage</w:t>
            </w:r>
            <w:r>
              <w:rPr>
                <w:sz w:val="18"/>
              </w:rPr>
              <w:t>)</w:t>
            </w:r>
          </w:p>
        </w:tc>
        <w:tc>
          <w:tcPr>
            <w:tcW w:type="dxa" w:w="4873"/>
            <w:shd w:val="clear" w:color="auto" w:fill="F1F5FB"/>
          </w:tcPr>
          <w:p>
            <w:pPr>
              <w:spacing w:after="40"/>
            </w:pPr>
            <w:r>
              <w:rPr>
                <w:sz w:val="18"/>
              </w:rPr>
              <w:t>Pallet o caja. Una caja puede estar dentro de un pallet (</w:t>
            </w:r>
            <w:r>
              <w:rPr>
                <w:rFonts w:ascii="Consolas" w:hAnsi="Consolas" w:eastAsia="Consolas"/>
                <w:color w:val="9F1239"/>
                <w:sz w:val="17"/>
              </w:rPr>
              <w:t>ParentPalletId</w:t>
            </w:r>
            <w:r>
              <w:rPr>
                <w:sz w:val="18"/>
              </w:rPr>
              <w:t>). Guarda peso bruto y dimensiones del contenedor</w:t>
            </w:r>
          </w:p>
        </w:tc>
      </w:tr>
      <w:tr>
        <w:tc>
          <w:tcPr>
            <w:tcW w:type="dxa" w:w="4873"/>
          </w:tcPr>
          <w:p>
            <w:pPr>
              <w:spacing w:after="40"/>
            </w:pPr>
            <w:r>
              <w:rPr>
                <w:rFonts w:ascii="Consolas" w:hAnsi="Consolas" w:eastAsia="Consolas"/>
                <w:color w:val="9F1239"/>
                <w:sz w:val="17"/>
              </w:rPr>
              <w:t>prcPurchaseShippingItem</w:t>
            </w:r>
            <w:r>
              <w:rPr>
                <w:sz w:val="18"/>
              </w:rPr>
              <w:t xml:space="preserve"> (</w:t>
            </w:r>
            <w:r>
              <w:rPr>
                <w:rFonts w:ascii="Consolas" w:hAnsi="Consolas" w:eastAsia="Consolas"/>
                <w:color w:val="9F1239"/>
                <w:sz w:val="17"/>
              </w:rPr>
              <w:t>ShippingItem</w:t>
            </w:r>
            <w:r>
              <w:rPr>
                <w:sz w:val="18"/>
              </w:rPr>
              <w:t>)</w:t>
            </w:r>
          </w:p>
        </w:tc>
        <w:tc>
          <w:tcPr>
            <w:tcW w:type="dxa" w:w="4873"/>
          </w:tcPr>
          <w:p>
            <w:pPr>
              <w:spacing w:after="40"/>
            </w:pPr>
            <w:r>
              <w:rPr>
                <w:sz w:val="18"/>
              </w:rPr>
              <w:t>Partida dentro de un paquete (número de parte, cantidad, UOM, peso neto y precio; el peso bruto y las dimensiones están en el paquete)</w:t>
            </w:r>
          </w:p>
        </w:tc>
      </w:tr>
      <w:tr>
        <w:tc>
          <w:tcPr>
            <w:tcW w:type="dxa" w:w="4873"/>
            <w:shd w:val="clear" w:color="auto" w:fill="F1F5FB"/>
          </w:tcPr>
          <w:p>
            <w:pPr>
              <w:spacing w:after="40"/>
            </w:pPr>
            <w:r>
              <w:rPr>
                <w:rFonts w:ascii="Consolas" w:hAnsi="Consolas" w:eastAsia="Consolas"/>
                <w:color w:val="9F1239"/>
                <w:sz w:val="17"/>
              </w:rPr>
              <w:t>prcPurchaseShippingQuote</w:t>
            </w:r>
            <w:r>
              <w:rPr>
                <w:sz w:val="18"/>
              </w:rPr>
              <w:t xml:space="preserve"> (</w:t>
            </w:r>
            <w:r>
              <w:rPr>
                <w:rFonts w:ascii="Consolas" w:hAnsi="Consolas" w:eastAsia="Consolas"/>
                <w:color w:val="9F1239"/>
                <w:sz w:val="17"/>
              </w:rPr>
              <w:t>ShippingQuote</w:t>
            </w:r>
            <w:r>
              <w:rPr>
                <w:sz w:val="18"/>
              </w:rPr>
              <w:t>)</w:t>
            </w:r>
          </w:p>
        </w:tc>
        <w:tc>
          <w:tcPr>
            <w:tcW w:type="dxa" w:w="4873"/>
            <w:shd w:val="clear" w:color="auto" w:fill="F1F5FB"/>
          </w:tcPr>
          <w:p>
            <w:pPr>
              <w:spacing w:after="40"/>
            </w:pPr>
            <w:r>
              <w:rPr>
                <w:sz w:val="18"/>
              </w:rPr>
              <w:t xml:space="preserve">Cotización de paquetería (proveedor, monto, PDF); una queda </w:t>
            </w:r>
            <w:r>
              <w:rPr>
                <w:rFonts w:ascii="Consolas" w:hAnsi="Consolas" w:eastAsia="Consolas"/>
                <w:color w:val="9F1239"/>
                <w:sz w:val="17"/>
              </w:rPr>
              <w:t>IsSelected</w:t>
            </w:r>
          </w:p>
        </w:tc>
      </w:tr>
      <w:tr>
        <w:tc>
          <w:tcPr>
            <w:tcW w:type="dxa" w:w="4873"/>
          </w:tcPr>
          <w:p>
            <w:pPr>
              <w:spacing w:after="40"/>
            </w:pPr>
            <w:r>
              <w:rPr>
                <w:rFonts w:ascii="Consolas" w:hAnsi="Consolas" w:eastAsia="Consolas"/>
                <w:color w:val="9F1239"/>
                <w:sz w:val="17"/>
              </w:rPr>
              <w:t>prcPurchasePremiumFreightInfo</w:t>
            </w:r>
            <w:r>
              <w:rPr>
                <w:sz w:val="18"/>
              </w:rPr>
              <w:t xml:space="preserve"> (</w:t>
            </w:r>
            <w:r>
              <w:rPr>
                <w:rFonts w:ascii="Consolas" w:hAnsi="Consolas" w:eastAsia="Consolas"/>
                <w:color w:val="9F1239"/>
                <w:sz w:val="17"/>
              </w:rPr>
              <w:t>PremiumFreightInfo</w:t>
            </w:r>
            <w:r>
              <w:rPr>
                <w:sz w:val="18"/>
              </w:rPr>
              <w:t>)</w:t>
            </w:r>
          </w:p>
        </w:tc>
        <w:tc>
          <w:tcPr>
            <w:tcW w:type="dxa" w:w="4873"/>
          </w:tcPr>
          <w:p>
            <w:pPr>
              <w:spacing w:after="40"/>
            </w:pPr>
            <w:r>
              <w:rPr>
                <w:sz w:val="18"/>
              </w:rPr>
              <w:t xml:space="preserve">Datos del formulario Premium Freight (folio </w:t>
            </w:r>
            <w:r>
              <w:rPr>
                <w:rFonts w:ascii="Consolas" w:hAnsi="Consolas" w:eastAsia="Consolas"/>
                <w:color w:val="9F1239"/>
                <w:sz w:val="17"/>
              </w:rPr>
              <w:t>PF-</w:t>
            </w:r>
            <w:r>
              <w:rPr>
                <w:sz w:val="18"/>
              </w:rPr>
              <w:t>)</w:t>
            </w:r>
          </w:p>
        </w:tc>
      </w:tr>
      <w:tr>
        <w:tc>
          <w:tcPr>
            <w:tcW w:type="dxa" w:w="4873"/>
            <w:shd w:val="clear" w:color="auto" w:fill="F1F5FB"/>
          </w:tcPr>
          <w:p>
            <w:pPr>
              <w:spacing w:after="40"/>
            </w:pPr>
            <w:r>
              <w:rPr>
                <w:rFonts w:ascii="Consolas" w:hAnsi="Consolas" w:eastAsia="Consolas"/>
                <w:color w:val="9F1239"/>
                <w:sz w:val="17"/>
              </w:rPr>
              <w:t>prcPurchaseApprovalStep</w:t>
            </w:r>
            <w:r>
              <w:rPr>
                <w:sz w:val="18"/>
              </w:rPr>
              <w:t xml:space="preserve"> (</w:t>
            </w:r>
            <w:r>
              <w:rPr>
                <w:rFonts w:ascii="Consolas" w:hAnsi="Consolas" w:eastAsia="Consolas"/>
                <w:color w:val="9F1239"/>
                <w:sz w:val="17"/>
              </w:rPr>
              <w:t>ApprovalStep</w:t>
            </w:r>
            <w:r>
              <w:rPr>
                <w:sz w:val="18"/>
              </w:rPr>
              <w:t>)</w:t>
            </w:r>
          </w:p>
        </w:tc>
        <w:tc>
          <w:tcPr>
            <w:tcW w:type="dxa" w:w="4873"/>
            <w:shd w:val="clear" w:color="auto" w:fill="F1F5FB"/>
          </w:tcPr>
          <w:p>
            <w:pPr>
              <w:spacing w:after="40"/>
            </w:pPr>
            <w:r>
              <w:rPr>
                <w:sz w:val="18"/>
              </w:rPr>
              <w:t>Pasos de la cadena de aprobación de cada solicitud</w:t>
            </w:r>
          </w:p>
        </w:tc>
      </w:tr>
      <w:tr>
        <w:tc>
          <w:tcPr>
            <w:tcW w:type="dxa" w:w="4873"/>
          </w:tcPr>
          <w:p>
            <w:pPr>
              <w:spacing w:after="40"/>
            </w:pPr>
            <w:r>
              <w:rPr>
                <w:rFonts w:ascii="Consolas" w:hAnsi="Consolas" w:eastAsia="Consolas"/>
                <w:color w:val="9F1239"/>
                <w:sz w:val="17"/>
              </w:rPr>
              <w:t>prcPurchaseApprovalRolePermission</w:t>
            </w:r>
            <w:r>
              <w:rPr>
                <w:sz w:val="18"/>
              </w:rPr>
              <w:t xml:space="preserve"> (</w:t>
            </w:r>
            <w:r>
              <w:rPr>
                <w:rFonts w:ascii="Consolas" w:hAnsi="Consolas" w:eastAsia="Consolas"/>
                <w:color w:val="9F1239"/>
                <w:sz w:val="17"/>
              </w:rPr>
              <w:t>ApprovalRolePermission</w:t>
            </w:r>
            <w:r>
              <w:rPr>
                <w:sz w:val="18"/>
              </w:rPr>
              <w:t>)</w:t>
            </w:r>
          </w:p>
        </w:tc>
        <w:tc>
          <w:tcPr>
            <w:tcW w:type="dxa" w:w="4873"/>
          </w:tcPr>
          <w:p>
            <w:pPr>
              <w:spacing w:after="40"/>
            </w:pPr>
            <w:r>
              <w:rPr>
                <w:sz w:val="18"/>
              </w:rPr>
              <w:t xml:space="preserve">Quién ocupa cada rol de aprobación (administrado en </w:t>
            </w:r>
            <w:r>
              <w:rPr>
                <w:rFonts w:ascii="Consolas" w:hAnsi="Consolas" w:eastAsia="Consolas"/>
                <w:color w:val="9F1239"/>
                <w:sz w:val="17"/>
              </w:rPr>
              <w:t>/admin/permissions</w:t>
            </w:r>
            <w:r>
              <w:rPr>
                <w:sz w:val="18"/>
              </w:rPr>
              <w:t>)</w:t>
            </w:r>
          </w:p>
        </w:tc>
      </w:tr>
      <w:tr>
        <w:tc>
          <w:tcPr>
            <w:tcW w:type="dxa" w:w="4873"/>
            <w:shd w:val="clear" w:color="auto" w:fill="F1F5FB"/>
          </w:tcPr>
          <w:p>
            <w:pPr>
              <w:spacing w:after="40"/>
            </w:pPr>
            <w:r>
              <w:rPr>
                <w:rFonts w:ascii="Consolas" w:hAnsi="Consolas" w:eastAsia="Consolas"/>
                <w:color w:val="9F1239"/>
                <w:sz w:val="17"/>
              </w:rPr>
              <w:t>prcPurchaseSystemAdmin</w:t>
            </w:r>
            <w:r>
              <w:rPr>
                <w:sz w:val="18"/>
              </w:rPr>
              <w:t xml:space="preserve"> (</w:t>
            </w:r>
            <w:r>
              <w:rPr>
                <w:rFonts w:ascii="Consolas" w:hAnsi="Consolas" w:eastAsia="Consolas"/>
                <w:color w:val="9F1239"/>
                <w:sz w:val="17"/>
              </w:rPr>
              <w:t>SystemAdmin</w:t>
            </w:r>
            <w:r>
              <w:rPr>
                <w:sz w:val="18"/>
              </w:rPr>
              <w:t>)</w:t>
            </w:r>
          </w:p>
        </w:tc>
        <w:tc>
          <w:tcPr>
            <w:tcW w:type="dxa" w:w="4873"/>
            <w:shd w:val="clear" w:color="auto" w:fill="F1F5FB"/>
          </w:tcPr>
          <w:p>
            <w:pPr>
              <w:spacing w:after="40"/>
            </w:pPr>
            <w:r>
              <w:rPr>
                <w:sz w:val="18"/>
              </w:rPr>
              <w:t>Administradores del sistema</w:t>
            </w:r>
          </w:p>
        </w:tc>
      </w:tr>
      <w:tr>
        <w:tc>
          <w:tcPr>
            <w:tcW w:type="dxa" w:w="4873"/>
          </w:tcPr>
          <w:p>
            <w:pPr>
              <w:spacing w:after="40"/>
            </w:pPr>
            <w:r>
              <w:rPr>
                <w:rFonts w:ascii="Consolas" w:hAnsi="Consolas" w:eastAsia="Consolas"/>
                <w:color w:val="9F1239"/>
                <w:sz w:val="17"/>
              </w:rPr>
              <w:t>prcPurchaseFolioCounter</w:t>
            </w:r>
            <w:r>
              <w:rPr>
                <w:sz w:val="18"/>
              </w:rPr>
              <w:t xml:space="preserve"> (</w:t>
            </w:r>
            <w:r>
              <w:rPr>
                <w:rFonts w:ascii="Consolas" w:hAnsi="Consolas" w:eastAsia="Consolas"/>
                <w:color w:val="9F1239"/>
                <w:sz w:val="17"/>
              </w:rPr>
              <w:t>FolioCounter</w:t>
            </w:r>
            <w:r>
              <w:rPr>
                <w:sz w:val="18"/>
              </w:rPr>
              <w:t>)</w:t>
            </w:r>
          </w:p>
        </w:tc>
        <w:tc>
          <w:tcPr>
            <w:tcW w:type="dxa" w:w="4873"/>
          </w:tcPr>
          <w:p>
            <w:pPr>
              <w:spacing w:after="40"/>
            </w:pPr>
            <w:r>
              <w:rPr>
                <w:sz w:val="18"/>
              </w:rPr>
              <w:t>Contador de folios por prefijo y año</w:t>
            </w:r>
          </w:p>
        </w:tc>
      </w:tr>
      <w:tr>
        <w:tc>
          <w:tcPr>
            <w:tcW w:type="dxa" w:w="4873"/>
            <w:shd w:val="clear" w:color="auto" w:fill="F1F5FB"/>
          </w:tcPr>
          <w:p>
            <w:pPr>
              <w:spacing w:after="40"/>
            </w:pPr>
            <w:r>
              <w:rPr>
                <w:rFonts w:ascii="Consolas" w:hAnsi="Consolas" w:eastAsia="Consolas"/>
                <w:color w:val="9F1239"/>
                <w:sz w:val="17"/>
              </w:rPr>
              <w:t>prcPurchasePartCatalog</w:t>
            </w:r>
            <w:r>
              <w:rPr>
                <w:sz w:val="18"/>
              </w:rPr>
              <w:t xml:space="preserve"> (</w:t>
            </w:r>
            <w:r>
              <w:rPr>
                <w:rFonts w:ascii="Consolas" w:hAnsi="Consolas" w:eastAsia="Consolas"/>
                <w:color w:val="9F1239"/>
                <w:sz w:val="17"/>
              </w:rPr>
              <w:t>PartCatalog</w:t>
            </w:r>
            <w:r>
              <w:rPr>
                <w:sz w:val="18"/>
              </w:rPr>
              <w:t>)</w:t>
            </w:r>
          </w:p>
        </w:tc>
        <w:tc>
          <w:tcPr>
            <w:tcW w:type="dxa" w:w="4873"/>
            <w:shd w:val="clear" w:color="auto" w:fill="F1F5FB"/>
          </w:tcPr>
          <w:p>
            <w:pPr>
              <w:spacing w:after="40"/>
            </w:pPr>
            <w:r>
              <w:rPr>
                <w:sz w:val="18"/>
              </w:rPr>
              <w:t>Catálogo de números de parte (autocompletar)</w:t>
            </w:r>
          </w:p>
        </w:tc>
      </w:tr>
      <w:tr>
        <w:tc>
          <w:tcPr>
            <w:tcW w:type="dxa" w:w="4873"/>
          </w:tcPr>
          <w:p>
            <w:pPr>
              <w:spacing w:after="40"/>
            </w:pPr>
            <w:r>
              <w:rPr>
                <w:rFonts w:ascii="Consolas" w:hAnsi="Consolas" w:eastAsia="Consolas"/>
                <w:color w:val="9F1239"/>
                <w:sz w:val="17"/>
              </w:rPr>
              <w:t>prcPurchaseCustomerCatalog</w:t>
            </w:r>
            <w:r>
              <w:rPr>
                <w:sz w:val="18"/>
              </w:rPr>
              <w:t xml:space="preserve"> (</w:t>
            </w:r>
            <w:r>
              <w:rPr>
                <w:rFonts w:ascii="Consolas" w:hAnsi="Consolas" w:eastAsia="Consolas"/>
                <w:color w:val="9F1239"/>
                <w:sz w:val="17"/>
              </w:rPr>
              <w:t>CustomerCatalog</w:t>
            </w:r>
            <w:r>
              <w:rPr>
                <w:sz w:val="18"/>
              </w:rPr>
              <w:t>)</w:t>
            </w:r>
          </w:p>
        </w:tc>
        <w:tc>
          <w:tcPr>
            <w:tcW w:type="dxa" w:w="4873"/>
          </w:tcPr>
          <w:p>
            <w:pPr>
              <w:spacing w:after="40"/>
            </w:pPr>
            <w:r>
              <w:rPr>
                <w:sz w:val="18"/>
              </w:rPr>
              <w:t>Catálogo de clientes/destinos de Trade (86 registros iniciales)</w:t>
            </w:r>
          </w:p>
        </w:tc>
      </w:tr>
      <w:tr>
        <w:tc>
          <w:tcPr>
            <w:tcW w:type="dxa" w:w="4873"/>
            <w:shd w:val="clear" w:color="auto" w:fill="F1F5FB"/>
          </w:tcPr>
          <w:p>
            <w:pPr>
              <w:spacing w:after="40"/>
            </w:pPr>
            <w:r>
              <w:rPr>
                <w:rFonts w:ascii="Consolas" w:hAnsi="Consolas" w:eastAsia="Consolas"/>
                <w:color w:val="9F1239"/>
                <w:sz w:val="17"/>
              </w:rPr>
              <w:t>meax_all_user</w:t>
            </w:r>
            <w:r>
              <w:rPr>
                <w:sz w:val="18"/>
              </w:rPr>
              <w:t xml:space="preserve"> (</w:t>
            </w:r>
            <w:r>
              <w:rPr>
                <w:rFonts w:ascii="Consolas" w:hAnsi="Consolas" w:eastAsia="Consolas"/>
                <w:color w:val="9F1239"/>
                <w:sz w:val="17"/>
              </w:rPr>
              <w:t>MeaxUser</w:t>
            </w:r>
            <w:r>
              <w:rPr>
                <w:sz w:val="18"/>
              </w:rPr>
              <w:t>)</w:t>
            </w:r>
          </w:p>
        </w:tc>
        <w:tc>
          <w:tcPr>
            <w:tcW w:type="dxa" w:w="4873"/>
            <w:shd w:val="clear" w:color="auto" w:fill="F1F5FB"/>
          </w:tcPr>
          <w:p>
            <w:pPr>
              <w:spacing w:after="40"/>
            </w:pPr>
            <w:r>
              <w:rPr>
                <w:b/>
                <w:sz w:val="18"/>
              </w:rPr>
              <w:t>Tabla externa, solo lectura.</w:t>
            </w:r>
            <w:r>
              <w:rPr>
                <w:sz w:val="18"/>
              </w:rPr>
              <w:t xml:space="preserve"> Directorio de usuarios: login de red, nombre, email, departamento, puesto</w:t>
            </w:r>
          </w:p>
        </w:tc>
      </w:tr>
    </w:tbl>
    <w:p>
      <w:pPr>
        <w:spacing w:after="40"/>
      </w:pPr>
    </w:p>
    <w:p>
      <w:pPr>
        <w:pStyle w:val="Heading2"/>
      </w:pPr>
      <w:r>
        <w:t>4.2 Relaciones principales</w:t>
      </w:r>
    </w:p>
    <w:p>
      <w:pPr>
        <w:pStyle w:val="ListBullet"/>
        <w:spacing w:after="40"/>
      </w:pPr>
      <w:r>
        <w:rPr>
          <w:rFonts w:ascii="Consolas" w:hAnsi="Consolas" w:eastAsia="Consolas"/>
          <w:color w:val="9F1239"/>
          <w:sz w:val="20"/>
        </w:rPr>
        <w:t>ShippingRequest</w:t>
      </w:r>
      <w:r>
        <w:t xml:space="preserve"> 1—N </w:t>
      </w:r>
      <w:r>
        <w:rPr>
          <w:rFonts w:ascii="Consolas" w:hAnsi="Consolas" w:eastAsia="Consolas"/>
          <w:color w:val="9F1239"/>
          <w:sz w:val="20"/>
        </w:rPr>
        <w:t>ShippingPackage</w:t>
      </w:r>
      <w:r>
        <w:t xml:space="preserve">, </w:t>
      </w:r>
      <w:r>
        <w:rPr>
          <w:rFonts w:ascii="Consolas" w:hAnsi="Consolas" w:eastAsia="Consolas"/>
          <w:color w:val="9F1239"/>
          <w:sz w:val="20"/>
        </w:rPr>
        <w:t>ShippingQuote</w:t>
      </w:r>
      <w:r>
        <w:t xml:space="preserve">, </w:t>
      </w:r>
      <w:r>
        <w:rPr>
          <w:rFonts w:ascii="Consolas" w:hAnsi="Consolas" w:eastAsia="Consolas"/>
          <w:color w:val="9F1239"/>
          <w:sz w:val="20"/>
        </w:rPr>
        <w:t>ApprovalStep</w:t>
      </w:r>
      <w:r>
        <w:t xml:space="preserve">; 1—1 </w:t>
      </w:r>
      <w:r>
        <w:rPr>
          <w:rFonts w:ascii="Consolas" w:hAnsi="Consolas" w:eastAsia="Consolas"/>
          <w:color w:val="9F1239"/>
          <w:sz w:val="20"/>
        </w:rPr>
        <w:t>PremiumFreightInfo</w:t>
      </w:r>
      <w:r>
        <w:t>.</w:t>
      </w:r>
    </w:p>
    <w:p>
      <w:pPr>
        <w:pStyle w:val="ListBullet"/>
        <w:spacing w:after="40"/>
      </w:pPr>
      <w:r>
        <w:rPr>
          <w:rFonts w:ascii="Consolas" w:hAnsi="Consolas" w:eastAsia="Consolas"/>
          <w:color w:val="9F1239"/>
          <w:sz w:val="20"/>
        </w:rPr>
        <w:t>ShippingPackage</w:t>
      </w:r>
      <w:r>
        <w:t xml:space="preserve"> 1—N </w:t>
      </w:r>
      <w:r>
        <w:rPr>
          <w:rFonts w:ascii="Consolas" w:hAnsi="Consolas" w:eastAsia="Consolas"/>
          <w:color w:val="9F1239"/>
          <w:sz w:val="20"/>
        </w:rPr>
        <w:t>ShippingItem</w:t>
      </w:r>
      <w:r>
        <w:t xml:space="preserve">; autorrelación </w:t>
      </w:r>
      <w:r>
        <w:rPr>
          <w:rFonts w:ascii="Consolas" w:hAnsi="Consolas" w:eastAsia="Consolas"/>
          <w:color w:val="9F1239"/>
          <w:sz w:val="20"/>
        </w:rPr>
        <w:t>ParentPallet</w:t>
      </w:r>
      <w:r>
        <w:t xml:space="preserve"> → </w:t>
      </w:r>
      <w:r>
        <w:rPr>
          <w:rFonts w:ascii="Consolas" w:hAnsi="Consolas" w:eastAsia="Consolas"/>
          <w:color w:val="9F1239"/>
          <w:sz w:val="20"/>
        </w:rPr>
        <w:t>ChildBoxes</w:t>
      </w:r>
      <w:r>
        <w:t xml:space="preserve"> (caja dentro de pallet).</w:t>
      </w:r>
    </w:p>
    <w:p>
      <w:pPr>
        <w:pStyle w:val="ListBullet"/>
        <w:spacing w:after="40"/>
      </w:pPr>
      <w:r>
        <w:rPr>
          <w:rFonts w:ascii="Consolas" w:hAnsi="Consolas" w:eastAsia="Consolas"/>
          <w:color w:val="9F1239"/>
          <w:sz w:val="20"/>
        </w:rPr>
        <w:t>SystemAdmin</w:t>
      </w:r>
      <w:r>
        <w:t xml:space="preserve"> es único por </w:t>
      </w:r>
      <w:r>
        <w:rPr>
          <w:rFonts w:ascii="Consolas" w:hAnsi="Consolas" w:eastAsia="Consolas"/>
          <w:color w:val="9F1239"/>
          <w:sz w:val="20"/>
        </w:rPr>
        <w:t>MeaxUserId</w:t>
      </w:r>
      <w:r>
        <w:t xml:space="preserve">; </w:t>
      </w:r>
      <w:r>
        <w:rPr>
          <w:rFonts w:ascii="Consolas" w:hAnsi="Consolas" w:eastAsia="Consolas"/>
          <w:color w:val="9F1239"/>
          <w:sz w:val="20"/>
        </w:rPr>
        <w:t>PartCatalog.PartNumber</w:t>
      </w:r>
      <w:r>
        <w:t xml:space="preserve"> es único.</w:t>
      </w:r>
    </w:p>
    <w:p>
      <w:pPr>
        <w:pStyle w:val="ListBullet"/>
        <w:spacing w:after="40"/>
      </w:pPr>
      <w:r>
        <w:rPr>
          <w:rFonts w:ascii="Consolas" w:hAnsi="Consolas" w:eastAsia="Consolas"/>
          <w:color w:val="9F1239"/>
          <w:sz w:val="20"/>
        </w:rPr>
        <w:t>CustomerCatalog.CustomerCode</w:t>
      </w:r>
      <w:r>
        <w:t xml:space="preserve"> </w:t>
      </w:r>
      <w:r>
        <w:rPr>
          <w:b/>
        </w:rPr>
        <w:t>no</w:t>
      </w:r>
      <w:r>
        <w:t xml:space="preserve"> es único: un cliente con varios domicilios se registra una vez por domicilio.</w:t>
      </w:r>
    </w:p>
    <w:p>
      <w:pPr>
        <w:pStyle w:val="Heading2"/>
      </w:pPr>
      <w:r>
        <w:t>4.3 Peso y dimensiones</w:t>
      </w:r>
    </w:p>
    <w:p>
      <w:r>
        <w:t xml:space="preserve">Peso bruto y dimensiones (largo, ancho, alto) se capturan </w:t>
      </w:r>
      <w:r>
        <w:rPr>
          <w:b/>
        </w:rPr>
        <w:t>una vez por caja o pallet</w:t>
      </w:r>
      <w:r>
        <w:t xml:space="preserve">, no por partida. El peso neto sí es por partida. Regla de validación: por cada contenedor, el peso bruto debe ser </w:t>
      </w:r>
      <w:r>
        <w:rPr>
          <w:b/>
        </w:rPr>
        <w:t>mayor</w:t>
      </w:r>
      <w:r>
        <w:t xml:space="preserve"> que la suma de los pesos netos de sus partidas (si el peso bruto es 0, no se valida).</w:t>
      </w:r>
    </w:p>
    <w:p>
      <w:pPr>
        <w:pStyle w:val="Heading2"/>
      </w:pPr>
      <w:r>
        <w:t>4.4 Folios</w:t>
      </w:r>
    </w:p>
    <w:p>
      <w:r>
        <w:rPr>
          <w:rFonts w:ascii="Consolas" w:hAnsi="Consolas" w:eastAsia="Consolas"/>
          <w:color w:val="9F1239"/>
          <w:sz w:val="20"/>
        </w:rPr>
        <w:t>FolioService</w:t>
      </w:r>
      <w:r>
        <w:t xml:space="preserve"> genera </w:t>
      </w:r>
      <w:r>
        <w:rPr>
          <w:rFonts w:ascii="Consolas" w:hAnsi="Consolas" w:eastAsia="Consolas"/>
          <w:color w:val="9F1239"/>
          <w:sz w:val="20"/>
        </w:rPr>
        <w:t>SR-AAAA-NNNN</w:t>
      </w:r>
      <w:r>
        <w:t xml:space="preserve"> (solicitud) y </w:t>
      </w:r>
      <w:r>
        <w:rPr>
          <w:rFonts w:ascii="Consolas" w:hAnsi="Consolas" w:eastAsia="Consolas"/>
          <w:color w:val="9F1239"/>
          <w:sz w:val="20"/>
        </w:rPr>
        <w:t>PF-AAAA-NNNN</w:t>
      </w:r>
      <w:r>
        <w:t xml:space="preserve"> (Premium Freight) con una transacción </w:t>
      </w:r>
      <w:r>
        <w:rPr>
          <w:i/>
        </w:rPr>
        <w:t>Serializable</w:t>
      </w:r>
      <w:r>
        <w:t xml:space="preserve"> dentro de la estrategia de ejecución de EF (necesario por </w:t>
      </w:r>
      <w:r>
        <w:rPr>
          <w:rFonts w:ascii="Consolas" w:hAnsi="Consolas" w:eastAsia="Consolas"/>
          <w:color w:val="9F1239"/>
          <w:sz w:val="20"/>
        </w:rPr>
        <w:t>EnableRetryOnFailure</w:t>
      </w:r>
      <w:r>
        <w:t>).</w:t>
      </w:r>
    </w:p>
    <w:p>
      <w:pPr>
        <w:pStyle w:val="Heading2"/>
      </w:pPr>
      <w:r>
        <w:t>4.5 Enums y persistencia como enteros</w:t>
      </w:r>
    </w:p>
    <w:p>
      <w:r>
        <w:t xml:space="preserve">EF Core guarda los enums como </w:t>
      </w:r>
      <w:r>
        <w:rPr>
          <w:b/>
        </w:rPr>
        <w:t>enteros según el orden de declaración</w:t>
      </w:r>
      <w:r>
        <w:t xml:space="preserve">. Nunca se debe reordenar ni insertar miembros en medio de un enum con datos ya guardados; solo renombrar o agregar al final. </w:t>
      </w:r>
      <w:r>
        <w:rPr>
          <w:rFonts w:ascii="Consolas" w:hAnsi="Consolas" w:eastAsia="Consolas"/>
          <w:color w:val="9F1239"/>
          <w:sz w:val="20"/>
        </w:rPr>
        <w:t>ParcelCarrier</w:t>
      </w:r>
      <w:r>
        <w:t xml:space="preserve"> usa valores explícitos (</w:t>
      </w:r>
      <w:r>
        <w:rPr>
          <w:rFonts w:ascii="Consolas" w:hAnsi="Consolas" w:eastAsia="Consolas"/>
          <w:color w:val="9F1239"/>
          <w:sz w:val="20"/>
        </w:rPr>
        <w:t>FedEx=1, UPS=2, DHL=3, Otro=4</w:t>
      </w:r>
      <w:r>
        <w:t xml:space="preserve">) porque se retiró </w:t>
      </w:r>
      <w:r>
        <w:rPr>
          <w:rFonts w:ascii="Consolas" w:hAnsi="Consolas" w:eastAsia="Consolas"/>
          <w:color w:val="9F1239"/>
          <w:sz w:val="20"/>
        </w:rPr>
        <w:t>SHL</w:t>
      </w:r>
      <w:r>
        <w:t>.</w:t>
      </w:r>
    </w:p>
    <w:p>
      <w:r>
        <w:rPr>
          <w:rFonts w:ascii="Consolas" w:hAnsi="Consolas" w:eastAsia="Consolas"/>
          <w:color w:val="9F1239"/>
          <w:sz w:val="20"/>
        </w:rPr>
        <w:t>RequestStatus</w:t>
      </w:r>
      <w:r>
        <w:t>:</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3249"/>
        <w:gridCol w:w="3249"/>
        <w:gridCol w:w="3249"/>
      </w:tblGrid>
      <w:tr>
        <w:trPr>
          <w:tblHeader w:val="true"/>
        </w:trPr>
        <w:tc>
          <w:tcPr>
            <w:tcW w:type="dxa" w:w="3249"/>
            <w:shd w:val="clear" w:color="auto" w:fill="1E3A8A"/>
          </w:tcPr>
          <w:p>
            <w:pPr>
              <w:spacing w:after="40"/>
            </w:pPr>
            <w:r>
              <w:rPr>
                <w:b/>
                <w:color w:val="FFFFFF"/>
                <w:sz w:val="18"/>
              </w:rPr>
              <w:t>Valor</w:t>
            </w:r>
          </w:p>
        </w:tc>
        <w:tc>
          <w:tcPr>
            <w:tcW w:type="dxa" w:w="3249"/>
            <w:shd w:val="clear" w:color="auto" w:fill="1E3A8A"/>
          </w:tcPr>
          <w:p>
            <w:pPr>
              <w:spacing w:after="40"/>
            </w:pPr>
            <w:r>
              <w:rPr>
                <w:b/>
                <w:color w:val="FFFFFF"/>
                <w:sz w:val="18"/>
              </w:rPr>
              <w:t>Estado</w:t>
            </w:r>
          </w:p>
        </w:tc>
        <w:tc>
          <w:tcPr>
            <w:tcW w:type="dxa" w:w="3249"/>
            <w:shd w:val="clear" w:color="auto" w:fill="1E3A8A"/>
          </w:tcPr>
          <w:p>
            <w:pPr>
              <w:spacing w:after="40"/>
            </w:pPr>
            <w:r>
              <w:rPr>
                <w:b/>
                <w:color w:val="FFFFFF"/>
                <w:sz w:val="18"/>
              </w:rPr>
              <w:t>Significado</w:t>
            </w:r>
          </w:p>
        </w:tc>
      </w:tr>
      <w:tr>
        <w:tc>
          <w:tcPr>
            <w:tcW w:type="dxa" w:w="3249"/>
          </w:tcPr>
          <w:p>
            <w:pPr>
              <w:spacing w:after="40"/>
            </w:pPr>
            <w:r>
              <w:rPr>
                <w:sz w:val="18"/>
              </w:rPr>
              <w:t>0</w:t>
            </w:r>
          </w:p>
        </w:tc>
        <w:tc>
          <w:tcPr>
            <w:tcW w:type="dxa" w:w="3249"/>
          </w:tcPr>
          <w:p>
            <w:pPr>
              <w:spacing w:after="40"/>
            </w:pPr>
            <w:r>
              <w:rPr>
                <w:rFonts w:ascii="Consolas" w:hAnsi="Consolas" w:eastAsia="Consolas"/>
                <w:color w:val="9F1239"/>
                <w:sz w:val="17"/>
              </w:rPr>
              <w:t>Draft</w:t>
            </w:r>
          </w:p>
        </w:tc>
        <w:tc>
          <w:tcPr>
            <w:tcW w:type="dxa" w:w="3249"/>
          </w:tcPr>
          <w:p>
            <w:pPr>
              <w:spacing w:after="40"/>
            </w:pPr>
            <w:r>
              <w:rPr>
                <w:sz w:val="18"/>
              </w:rPr>
              <w:t>Borrador (wizard sin terminar)</w:t>
            </w:r>
          </w:p>
        </w:tc>
      </w:tr>
      <w:tr>
        <w:tc>
          <w:tcPr>
            <w:tcW w:type="dxa" w:w="3249"/>
            <w:shd w:val="clear" w:color="auto" w:fill="F1F5FB"/>
          </w:tcPr>
          <w:p>
            <w:pPr>
              <w:spacing w:after="40"/>
            </w:pPr>
            <w:r>
              <w:rPr>
                <w:sz w:val="18"/>
              </w:rPr>
              <w:t>1</w:t>
            </w:r>
          </w:p>
        </w:tc>
        <w:tc>
          <w:tcPr>
            <w:tcW w:type="dxa" w:w="3249"/>
            <w:shd w:val="clear" w:color="auto" w:fill="F1F5FB"/>
          </w:tcPr>
          <w:p>
            <w:pPr>
              <w:spacing w:after="40"/>
            </w:pPr>
            <w:r>
              <w:rPr>
                <w:rFonts w:ascii="Consolas" w:hAnsi="Consolas" w:eastAsia="Consolas"/>
                <w:color w:val="9F1239"/>
                <w:sz w:val="17"/>
              </w:rPr>
              <w:t>PendingTradeStaffQuotes</w:t>
            </w:r>
          </w:p>
        </w:tc>
        <w:tc>
          <w:tcPr>
            <w:tcW w:type="dxa" w:w="3249"/>
            <w:shd w:val="clear" w:color="auto" w:fill="F1F5FB"/>
          </w:tcPr>
          <w:p>
            <w:pPr>
              <w:spacing w:after="40"/>
            </w:pPr>
            <w:r>
              <w:rPr>
                <w:sz w:val="18"/>
              </w:rPr>
              <w:t>Trade Staff debe subir IGI, Incoterm, Tipo de Operación y cotizaciones</w:t>
            </w:r>
          </w:p>
        </w:tc>
      </w:tr>
      <w:tr>
        <w:tc>
          <w:tcPr>
            <w:tcW w:type="dxa" w:w="3249"/>
          </w:tcPr>
          <w:p>
            <w:pPr>
              <w:spacing w:after="40"/>
            </w:pPr>
            <w:r>
              <w:rPr>
                <w:sz w:val="18"/>
              </w:rPr>
              <w:t>2</w:t>
            </w:r>
          </w:p>
        </w:tc>
        <w:tc>
          <w:tcPr>
            <w:tcW w:type="dxa" w:w="3249"/>
          </w:tcPr>
          <w:p>
            <w:pPr>
              <w:spacing w:after="40"/>
            </w:pPr>
            <w:r>
              <w:rPr>
                <w:rFonts w:ascii="Consolas" w:hAnsi="Consolas" w:eastAsia="Consolas"/>
                <w:color w:val="9F1239"/>
                <w:sz w:val="17"/>
              </w:rPr>
              <w:t>PendingUserQuoteSelection</w:t>
            </w:r>
          </w:p>
        </w:tc>
        <w:tc>
          <w:tcPr>
            <w:tcW w:type="dxa" w:w="3249"/>
          </w:tcPr>
          <w:p>
            <w:pPr>
              <w:spacing w:after="40"/>
            </w:pPr>
            <w:r>
              <w:rPr>
                <w:sz w:val="18"/>
              </w:rPr>
              <w:t>El solicitante elige la cotización</w:t>
            </w:r>
          </w:p>
        </w:tc>
      </w:tr>
      <w:tr>
        <w:tc>
          <w:tcPr>
            <w:tcW w:type="dxa" w:w="3249"/>
            <w:shd w:val="clear" w:color="auto" w:fill="F1F5FB"/>
          </w:tcPr>
          <w:p>
            <w:pPr>
              <w:spacing w:after="40"/>
            </w:pPr>
            <w:r>
              <w:rPr>
                <w:sz w:val="18"/>
              </w:rPr>
              <w:t>3</w:t>
            </w:r>
          </w:p>
        </w:tc>
        <w:tc>
          <w:tcPr>
            <w:tcW w:type="dxa" w:w="3249"/>
            <w:shd w:val="clear" w:color="auto" w:fill="F1F5FB"/>
          </w:tcPr>
          <w:p>
            <w:pPr>
              <w:spacing w:after="40"/>
            </w:pPr>
            <w:r>
              <w:rPr>
                <w:rFonts w:ascii="Consolas" w:hAnsi="Consolas" w:eastAsia="Consolas"/>
                <w:color w:val="9F1239"/>
                <w:sz w:val="17"/>
              </w:rPr>
              <w:t>PendingPremiumFreight</w:t>
            </w:r>
          </w:p>
        </w:tc>
        <w:tc>
          <w:tcPr>
            <w:tcW w:type="dxa" w:w="3249"/>
            <w:shd w:val="clear" w:color="auto" w:fill="F1F5FB"/>
          </w:tcPr>
          <w:p>
            <w:pPr>
              <w:spacing w:after="40"/>
            </w:pPr>
            <w:r>
              <w:rPr>
                <w:sz w:val="18"/>
              </w:rPr>
              <w:t>El solicitante llena Premium Freight</w:t>
            </w:r>
          </w:p>
        </w:tc>
      </w:tr>
      <w:tr>
        <w:tc>
          <w:tcPr>
            <w:tcW w:type="dxa" w:w="3249"/>
          </w:tcPr>
          <w:p>
            <w:pPr>
              <w:spacing w:after="40"/>
            </w:pPr>
            <w:r>
              <w:rPr>
                <w:sz w:val="18"/>
              </w:rPr>
              <w:t>4</w:t>
            </w:r>
          </w:p>
        </w:tc>
        <w:tc>
          <w:tcPr>
            <w:tcW w:type="dxa" w:w="3249"/>
          </w:tcPr>
          <w:p>
            <w:pPr>
              <w:spacing w:after="40"/>
            </w:pPr>
            <w:r>
              <w:rPr>
                <w:rFonts w:ascii="Consolas" w:hAnsi="Consolas" w:eastAsia="Consolas"/>
                <w:color w:val="9F1239"/>
                <w:sz w:val="17"/>
              </w:rPr>
              <w:t>PendingTradeStaffApproval</w:t>
            </w:r>
          </w:p>
        </w:tc>
        <w:tc>
          <w:tcPr>
            <w:tcW w:type="dxa" w:w="3249"/>
          </w:tcPr>
          <w:p>
            <w:pPr>
              <w:spacing w:after="40"/>
            </w:pPr>
            <w:r>
              <w:rPr>
                <w:sz w:val="18"/>
              </w:rPr>
              <w:t>Aprobación formal de Trade Staff</w:t>
            </w:r>
          </w:p>
        </w:tc>
      </w:tr>
      <w:tr>
        <w:tc>
          <w:tcPr>
            <w:tcW w:type="dxa" w:w="3249"/>
            <w:shd w:val="clear" w:color="auto" w:fill="F1F5FB"/>
          </w:tcPr>
          <w:p>
            <w:pPr>
              <w:spacing w:after="40"/>
            </w:pPr>
            <w:r>
              <w:rPr>
                <w:sz w:val="18"/>
              </w:rPr>
              <w:t>5</w:t>
            </w:r>
          </w:p>
        </w:tc>
        <w:tc>
          <w:tcPr>
            <w:tcW w:type="dxa" w:w="3249"/>
            <w:shd w:val="clear" w:color="auto" w:fill="F1F5FB"/>
          </w:tcPr>
          <w:p>
            <w:pPr>
              <w:spacing w:after="40"/>
            </w:pPr>
            <w:r>
              <w:rPr>
                <w:rFonts w:ascii="Consolas" w:hAnsi="Consolas" w:eastAsia="Consolas"/>
                <w:color w:val="9F1239"/>
                <w:sz w:val="17"/>
              </w:rPr>
              <w:t>PendingTradeCoordinator</w:t>
            </w:r>
          </w:p>
        </w:tc>
        <w:tc>
          <w:tcPr>
            <w:tcW w:type="dxa" w:w="3249"/>
            <w:shd w:val="clear" w:color="auto" w:fill="F1F5FB"/>
          </w:tcPr>
          <w:p>
            <w:pPr>
              <w:spacing w:after="40"/>
            </w:pPr>
            <w:r>
              <w:rPr>
                <w:sz w:val="18"/>
              </w:rPr>
              <w:t>Aprobación de Trade Coordinator</w:t>
            </w:r>
          </w:p>
        </w:tc>
      </w:tr>
      <w:tr>
        <w:tc>
          <w:tcPr>
            <w:tcW w:type="dxa" w:w="3249"/>
          </w:tcPr>
          <w:p>
            <w:pPr>
              <w:spacing w:after="40"/>
            </w:pPr>
            <w:r>
              <w:rPr>
                <w:sz w:val="18"/>
              </w:rPr>
              <w:t>6</w:t>
            </w:r>
          </w:p>
        </w:tc>
        <w:tc>
          <w:tcPr>
            <w:tcW w:type="dxa" w:w="3249"/>
          </w:tcPr>
          <w:p>
            <w:pPr>
              <w:spacing w:after="40"/>
            </w:pPr>
            <w:r>
              <w:rPr>
                <w:rFonts w:ascii="Consolas" w:hAnsi="Consolas" w:eastAsia="Consolas"/>
                <w:color w:val="9F1239"/>
                <w:sz w:val="17"/>
              </w:rPr>
              <w:t>PendingTradeManager</w:t>
            </w:r>
          </w:p>
        </w:tc>
        <w:tc>
          <w:tcPr>
            <w:tcW w:type="dxa" w:w="3249"/>
          </w:tcPr>
          <w:p>
            <w:pPr>
              <w:spacing w:after="40"/>
            </w:pPr>
            <w:r>
              <w:rPr>
                <w:sz w:val="18"/>
              </w:rPr>
              <w:t>Aprobación de Trade Manager</w:t>
            </w:r>
          </w:p>
        </w:tc>
      </w:tr>
      <w:tr>
        <w:tc>
          <w:tcPr>
            <w:tcW w:type="dxa" w:w="3249"/>
            <w:shd w:val="clear" w:color="auto" w:fill="F1F5FB"/>
          </w:tcPr>
          <w:p>
            <w:pPr>
              <w:spacing w:after="40"/>
            </w:pPr>
            <w:r>
              <w:rPr>
                <w:sz w:val="18"/>
              </w:rPr>
              <w:t>7</w:t>
            </w:r>
          </w:p>
        </w:tc>
        <w:tc>
          <w:tcPr>
            <w:tcW w:type="dxa" w:w="3249"/>
            <w:shd w:val="clear" w:color="auto" w:fill="F1F5FB"/>
          </w:tcPr>
          <w:p>
            <w:pPr>
              <w:spacing w:after="40"/>
            </w:pPr>
            <w:r>
              <w:rPr>
                <w:rFonts w:ascii="Consolas" w:hAnsi="Consolas" w:eastAsia="Consolas"/>
                <w:color w:val="9F1239"/>
                <w:sz w:val="17"/>
              </w:rPr>
              <w:t>PendingUserManager</w:t>
            </w:r>
          </w:p>
        </w:tc>
        <w:tc>
          <w:tcPr>
            <w:tcW w:type="dxa" w:w="3249"/>
            <w:shd w:val="clear" w:color="auto" w:fill="F1F5FB"/>
          </w:tcPr>
          <w:p>
            <w:pPr>
              <w:spacing w:after="40"/>
            </w:pPr>
            <w:r>
              <w:rPr>
                <w:sz w:val="18"/>
              </w:rPr>
              <w:t>Aprobación del Manager del solicitante</w:t>
            </w:r>
          </w:p>
        </w:tc>
      </w:tr>
      <w:tr>
        <w:tc>
          <w:tcPr>
            <w:tcW w:type="dxa" w:w="3249"/>
          </w:tcPr>
          <w:p>
            <w:pPr>
              <w:spacing w:after="40"/>
            </w:pPr>
            <w:r>
              <w:rPr>
                <w:sz w:val="18"/>
              </w:rPr>
              <w:t>8</w:t>
            </w:r>
          </w:p>
        </w:tc>
        <w:tc>
          <w:tcPr>
            <w:tcW w:type="dxa" w:w="3249"/>
          </w:tcPr>
          <w:p>
            <w:pPr>
              <w:spacing w:after="40"/>
            </w:pPr>
            <w:r>
              <w:rPr>
                <w:rFonts w:ascii="Consolas" w:hAnsi="Consolas" w:eastAsia="Consolas"/>
                <w:color w:val="9F1239"/>
                <w:sz w:val="17"/>
              </w:rPr>
              <w:t>PendingProcurementManager</w:t>
            </w:r>
          </w:p>
        </w:tc>
        <w:tc>
          <w:tcPr>
            <w:tcW w:type="dxa" w:w="3249"/>
          </w:tcPr>
          <w:p>
            <w:pPr>
              <w:spacing w:after="40"/>
            </w:pPr>
            <w:r>
              <w:rPr>
                <w:sz w:val="18"/>
              </w:rPr>
              <w:t>Aprobación de Procurement Manager</w:t>
            </w:r>
          </w:p>
        </w:tc>
      </w:tr>
      <w:tr>
        <w:tc>
          <w:tcPr>
            <w:tcW w:type="dxa" w:w="3249"/>
            <w:shd w:val="clear" w:color="auto" w:fill="F1F5FB"/>
          </w:tcPr>
          <w:p>
            <w:pPr>
              <w:spacing w:after="40"/>
            </w:pPr>
            <w:r>
              <w:rPr>
                <w:sz w:val="18"/>
              </w:rPr>
              <w:t>9</w:t>
            </w:r>
          </w:p>
        </w:tc>
        <w:tc>
          <w:tcPr>
            <w:tcW w:type="dxa" w:w="3249"/>
            <w:shd w:val="clear" w:color="auto" w:fill="F1F5FB"/>
          </w:tcPr>
          <w:p>
            <w:pPr>
              <w:spacing w:after="40"/>
            </w:pPr>
            <w:r>
              <w:rPr>
                <w:rFonts w:ascii="Consolas" w:hAnsi="Consolas" w:eastAsia="Consolas"/>
                <w:color w:val="9F1239"/>
                <w:sz w:val="17"/>
              </w:rPr>
              <w:t>PendingSalesManager</w:t>
            </w:r>
          </w:p>
        </w:tc>
        <w:tc>
          <w:tcPr>
            <w:tcW w:type="dxa" w:w="3249"/>
            <w:shd w:val="clear" w:color="auto" w:fill="F1F5FB"/>
          </w:tcPr>
          <w:p>
            <w:pPr>
              <w:spacing w:after="40"/>
            </w:pPr>
            <w:r>
              <w:rPr>
                <w:sz w:val="18"/>
              </w:rPr>
              <w:t>Aprobación de Sales Manager</w:t>
            </w:r>
          </w:p>
        </w:tc>
      </w:tr>
      <w:tr>
        <w:tc>
          <w:tcPr>
            <w:tcW w:type="dxa" w:w="3249"/>
          </w:tcPr>
          <w:p>
            <w:pPr>
              <w:spacing w:after="40"/>
            </w:pPr>
            <w:r>
              <w:rPr>
                <w:sz w:val="18"/>
              </w:rPr>
              <w:t>10</w:t>
            </w:r>
          </w:p>
        </w:tc>
        <w:tc>
          <w:tcPr>
            <w:tcW w:type="dxa" w:w="3249"/>
          </w:tcPr>
          <w:p>
            <w:pPr>
              <w:spacing w:after="40"/>
            </w:pPr>
            <w:r>
              <w:rPr>
                <w:rFonts w:ascii="Consolas" w:hAnsi="Consolas" w:eastAsia="Consolas"/>
                <w:color w:val="9F1239"/>
                <w:sz w:val="17"/>
              </w:rPr>
              <w:t>PendingFinanceManager</w:t>
            </w:r>
          </w:p>
        </w:tc>
        <w:tc>
          <w:tcPr>
            <w:tcW w:type="dxa" w:w="3249"/>
          </w:tcPr>
          <w:p>
            <w:pPr>
              <w:spacing w:after="40"/>
            </w:pPr>
            <w:r>
              <w:rPr>
                <w:sz w:val="18"/>
              </w:rPr>
              <w:t>Aprobación de Finanzas</w:t>
            </w:r>
          </w:p>
        </w:tc>
      </w:tr>
      <w:tr>
        <w:tc>
          <w:tcPr>
            <w:tcW w:type="dxa" w:w="3249"/>
            <w:shd w:val="clear" w:color="auto" w:fill="F1F5FB"/>
          </w:tcPr>
          <w:p>
            <w:pPr>
              <w:spacing w:after="40"/>
            </w:pPr>
            <w:r>
              <w:rPr>
                <w:sz w:val="18"/>
              </w:rPr>
              <w:t>11</w:t>
            </w:r>
          </w:p>
        </w:tc>
        <w:tc>
          <w:tcPr>
            <w:tcW w:type="dxa" w:w="3249"/>
            <w:shd w:val="clear" w:color="auto" w:fill="F1F5FB"/>
          </w:tcPr>
          <w:p>
            <w:pPr>
              <w:spacing w:after="40"/>
            </w:pPr>
            <w:r>
              <w:rPr>
                <w:rFonts w:ascii="Consolas" w:hAnsi="Consolas" w:eastAsia="Consolas"/>
                <w:color w:val="9F1239"/>
                <w:sz w:val="17"/>
              </w:rPr>
              <w:t>PendingPresident</w:t>
            </w:r>
          </w:p>
        </w:tc>
        <w:tc>
          <w:tcPr>
            <w:tcW w:type="dxa" w:w="3249"/>
            <w:shd w:val="clear" w:color="auto" w:fill="F1F5FB"/>
          </w:tcPr>
          <w:p>
            <w:pPr>
              <w:spacing w:after="40"/>
            </w:pPr>
            <w:r>
              <w:rPr>
                <w:sz w:val="18"/>
              </w:rPr>
              <w:t>Aprobación de Presidencia</w:t>
            </w:r>
          </w:p>
        </w:tc>
      </w:tr>
      <w:tr>
        <w:tc>
          <w:tcPr>
            <w:tcW w:type="dxa" w:w="3249"/>
          </w:tcPr>
          <w:p>
            <w:pPr>
              <w:spacing w:after="40"/>
            </w:pPr>
            <w:r>
              <w:rPr>
                <w:sz w:val="18"/>
              </w:rPr>
              <w:t>12</w:t>
            </w:r>
          </w:p>
        </w:tc>
        <w:tc>
          <w:tcPr>
            <w:tcW w:type="dxa" w:w="3249"/>
          </w:tcPr>
          <w:p>
            <w:pPr>
              <w:spacing w:after="40"/>
            </w:pPr>
            <w:r>
              <w:rPr>
                <w:rFonts w:ascii="Consolas" w:hAnsi="Consolas" w:eastAsia="Consolas"/>
                <w:color w:val="9F1239"/>
                <w:sz w:val="17"/>
              </w:rPr>
              <w:t>Approved</w:t>
            </w:r>
          </w:p>
        </w:tc>
        <w:tc>
          <w:tcPr>
            <w:tcW w:type="dxa" w:w="3249"/>
          </w:tcPr>
          <w:p>
            <w:pPr>
              <w:spacing w:after="40"/>
            </w:pPr>
            <w:r>
              <w:rPr>
                <w:sz w:val="18"/>
              </w:rPr>
              <w:t>Aprobada</w:t>
            </w:r>
          </w:p>
        </w:tc>
      </w:tr>
      <w:tr>
        <w:tc>
          <w:tcPr>
            <w:tcW w:type="dxa" w:w="3249"/>
            <w:shd w:val="clear" w:color="auto" w:fill="F1F5FB"/>
          </w:tcPr>
          <w:p>
            <w:pPr>
              <w:spacing w:after="40"/>
            </w:pPr>
            <w:r>
              <w:rPr>
                <w:sz w:val="18"/>
              </w:rPr>
              <w:t>13</w:t>
            </w:r>
          </w:p>
        </w:tc>
        <w:tc>
          <w:tcPr>
            <w:tcW w:type="dxa" w:w="3249"/>
            <w:shd w:val="clear" w:color="auto" w:fill="F1F5FB"/>
          </w:tcPr>
          <w:p>
            <w:pPr>
              <w:spacing w:after="40"/>
            </w:pPr>
            <w:r>
              <w:rPr>
                <w:rFonts w:ascii="Consolas" w:hAnsi="Consolas" w:eastAsia="Consolas"/>
                <w:color w:val="9F1239"/>
                <w:sz w:val="17"/>
              </w:rPr>
              <w:t>Rejected</w:t>
            </w:r>
          </w:p>
        </w:tc>
        <w:tc>
          <w:tcPr>
            <w:tcW w:type="dxa" w:w="3249"/>
            <w:shd w:val="clear" w:color="auto" w:fill="F1F5FB"/>
          </w:tcPr>
          <w:p>
            <w:pPr>
              <w:spacing w:after="40"/>
            </w:pPr>
            <w:r>
              <w:rPr>
                <w:sz w:val="18"/>
              </w:rPr>
              <w:t>Rechazada</w:t>
            </w:r>
          </w:p>
        </w:tc>
      </w:tr>
    </w:tbl>
    <w:p>
      <w:pPr>
        <w:spacing w:after="40"/>
      </w:pPr>
    </w:p>
    <w:p>
      <w:r>
        <w:t xml:space="preserve">El orden numérico </w:t>
      </w:r>
      <w:r>
        <w:rPr>
          <w:b/>
        </w:rPr>
        <w:t>no</w:t>
      </w:r>
      <w:r>
        <w:t xml:space="preserve"> es el orden del flujo; el orden real lo define </w:t>
      </w:r>
      <w:r>
        <w:rPr>
          <w:rFonts w:ascii="Consolas" w:hAnsi="Consolas" w:eastAsia="Consolas"/>
          <w:color w:val="9F1239"/>
          <w:sz w:val="20"/>
        </w:rPr>
        <w:t>ApprovalService.BuildApprovalFlow</w:t>
      </w:r>
      <w:r>
        <w:t>.</w:t>
      </w:r>
    </w:p>
    <w:p>
      <w:pPr>
        <w:pStyle w:val="Heading1"/>
      </w:pPr>
      <w:r>
        <w:t>5. Flujo de negocio</w:t>
      </w:r>
    </w:p>
    <w:p>
      <w:pPr>
        <w:pStyle w:val="Heading2"/>
      </w:pPr>
      <w:r>
        <w:t>5.1 Ciclo de vida de una solicitud</w:t>
      </w:r>
    </w:p>
    <w:p>
      <w:pPr>
        <w:pStyle w:val="ListNumber"/>
        <w:spacing w:after="40"/>
      </w:pPr>
      <w:r>
        <w:rPr>
          <w:b/>
        </w:rPr>
        <w:t xml:space="preserve">Captura (wizard </w:t>
      </w:r>
      <w:r>
        <w:rPr>
          <w:rFonts w:ascii="Consolas" w:hAnsi="Consolas" w:eastAsia="Consolas"/>
          <w:color w:val="9F1239"/>
          <w:sz w:val="20"/>
        </w:rPr>
        <w:t>/requests/new</w:t>
      </w:r>
      <w:r>
        <w:rPr>
          <w:b/>
        </w:rPr>
        <w:t>, 6 pasos):</w:t>
      </w:r>
      <w:r>
        <w:t xml:space="preserve"> Solicitante → Direcciones → Envío → Paquetes → Evidencias → Observaciones. Se autoguarda un </w:t>
      </w:r>
      <w:r>
        <w:rPr>
          <w:b/>
        </w:rPr>
        <w:t>borrador</w:t>
      </w:r>
      <w:r>
        <w:t xml:space="preserve"> al avanzar de paso; cada usuario retoma su borrador (se busca por email). Al enviar, la solicitud pasa a </w:t>
      </w:r>
      <w:r>
        <w:rPr>
          <w:rFonts w:ascii="Consolas" w:hAnsi="Consolas" w:eastAsia="Consolas"/>
          <w:color w:val="9F1239"/>
          <w:sz w:val="20"/>
        </w:rPr>
        <w:t>PendingTradeStaffQuotes</w:t>
      </w:r>
      <w:r>
        <w:t xml:space="preserve">, se genera el folio </w:t>
      </w:r>
      <w:r>
        <w:rPr>
          <w:rFonts w:ascii="Consolas" w:hAnsi="Consolas" w:eastAsia="Consolas"/>
          <w:color w:val="9F1239"/>
          <w:sz w:val="20"/>
        </w:rPr>
        <w:t>SR-</w:t>
      </w:r>
      <w:r>
        <w:t xml:space="preserve"> y se crean los pasos de aprobación.</w:t>
      </w:r>
    </w:p>
    <w:p>
      <w:pPr>
        <w:pStyle w:val="ListNumber"/>
        <w:spacing w:after="40"/>
      </w:pPr>
      <w:r>
        <w:rPr>
          <w:b/>
        </w:rPr>
        <w:t>Trade Staff (</w:t>
      </w:r>
      <w:r>
        <w:rPr>
          <w:rFonts w:ascii="Consolas" w:hAnsi="Consolas" w:eastAsia="Consolas"/>
          <w:color w:val="9F1239"/>
          <w:sz w:val="20"/>
        </w:rPr>
        <w:t>/requests/{id}/staff-review</w:t>
      </w:r>
      <w:r>
        <w:rPr>
          <w:b/>
        </w:rPr>
        <w:t>):</w:t>
      </w:r>
      <w:r>
        <w:t xml:space="preserve"> captura % IGI, Incoterm, Tipo de Operación (A1/RT, obligatorio y vacío al inicio), Certificado de Origen (opcional, PDF) y </w:t>
      </w:r>
      <w:r>
        <w:rPr>
          <w:b/>
        </w:rPr>
        <w:t>al menos 1 cotización</w:t>
      </w:r>
      <w:r>
        <w:t xml:space="preserve"> (máx. 5; el formulario abre con una y se agregan más con "+ Agregar Cotización"; con cuenta de cliente o proveedor basta una), cada una con proveedor, monto y PDF. Al guardar → </w:t>
      </w:r>
      <w:r>
        <w:rPr>
          <w:rFonts w:ascii="Consolas" w:hAnsi="Consolas" w:eastAsia="Consolas"/>
          <w:color w:val="9F1239"/>
          <w:sz w:val="20"/>
        </w:rPr>
        <w:t>PendingUserQuoteSelection</w:t>
      </w:r>
      <w:r>
        <w:t>.</w:t>
      </w:r>
    </w:p>
    <w:p>
      <w:pPr>
        <w:pStyle w:val="ListNumber"/>
        <w:spacing w:after="40"/>
      </w:pPr>
      <w:r>
        <w:rPr>
          <w:b/>
        </w:rPr>
        <w:t>Selección de cotización (</w:t>
      </w:r>
      <w:r>
        <w:rPr>
          <w:rFonts w:ascii="Consolas" w:hAnsi="Consolas" w:eastAsia="Consolas"/>
          <w:color w:val="9F1239"/>
          <w:sz w:val="20"/>
        </w:rPr>
        <w:t>/requests/{id}/select-quote</w:t>
      </w:r>
      <w:r>
        <w:rPr>
          <w:b/>
        </w:rPr>
        <w:t>):</w:t>
      </w:r>
      <w:r>
        <w:t xml:space="preserve"> el solicitante elige una; se guarda su monto como costo aproximado. Si la factura es </w:t>
      </w:r>
      <w:r>
        <w:rPr>
          <w:b/>
        </w:rPr>
        <w:t>Comercial</w:t>
      </w:r>
      <w:r>
        <w:t xml:space="preserve"> o el costo es </w:t>
      </w:r>
      <w:r>
        <w:rPr>
          <w:b/>
        </w:rPr>
        <w:t>≥ 5,000 USD</w:t>
      </w:r>
      <w:r>
        <w:t xml:space="preserve"> → </w:t>
      </w:r>
      <w:r>
        <w:rPr>
          <w:rFonts w:ascii="Consolas" w:hAnsi="Consolas" w:eastAsia="Consolas"/>
          <w:color w:val="9F1239"/>
          <w:sz w:val="20"/>
        </w:rPr>
        <w:t>PendingPremiumFreight</w:t>
      </w:r>
      <w:r>
        <w:t>; si no, entra directo a la cadena (</w:t>
      </w:r>
      <w:r>
        <w:rPr>
          <w:rFonts w:ascii="Consolas" w:hAnsi="Consolas" w:eastAsia="Consolas"/>
          <w:color w:val="9F1239"/>
          <w:sz w:val="20"/>
        </w:rPr>
        <w:t>PendingUserManager</w:t>
      </w:r>
      <w:r>
        <w:t>).</w:t>
      </w:r>
    </w:p>
    <w:p>
      <w:pPr>
        <w:pStyle w:val="ListNumber"/>
        <w:spacing w:after="40"/>
      </w:pPr>
      <w:r>
        <w:rPr>
          <w:b/>
        </w:rPr>
        <w:t>Premium Freight (</w:t>
      </w:r>
      <w:r>
        <w:rPr>
          <w:rFonts w:ascii="Consolas" w:hAnsi="Consolas" w:eastAsia="Consolas"/>
          <w:color w:val="9F1239"/>
          <w:sz w:val="20"/>
        </w:rPr>
        <w:t>/requests/{id}/premium-freight</w:t>
      </w:r>
      <w:r>
        <w:rPr>
          <w:b/>
        </w:rPr>
        <w:t>):</w:t>
      </w:r>
      <w:r>
        <w:t xml:space="preserve"> formulario con direcciones de recolección/entrega, causa y contramedidas; genera folio </w:t>
      </w:r>
      <w:r>
        <w:rPr>
          <w:rFonts w:ascii="Consolas" w:hAnsi="Consolas" w:eastAsia="Consolas"/>
          <w:color w:val="9F1239"/>
          <w:sz w:val="20"/>
        </w:rPr>
        <w:t>PF-</w:t>
      </w:r>
      <w:r>
        <w:t xml:space="preserve">. Según el pago se activan pasos opcionales (ver 5.2). Después → </w:t>
      </w:r>
      <w:r>
        <w:rPr>
          <w:rFonts w:ascii="Consolas" w:hAnsi="Consolas" w:eastAsia="Consolas"/>
          <w:color w:val="9F1239"/>
          <w:sz w:val="20"/>
        </w:rPr>
        <w:t>PendingUserManager</w:t>
      </w:r>
      <w:r>
        <w:t>.</w:t>
      </w:r>
    </w:p>
    <w:p>
      <w:pPr>
        <w:pStyle w:val="ListNumber"/>
        <w:spacing w:after="40"/>
      </w:pPr>
      <w:r>
        <w:rPr>
          <w:b/>
        </w:rPr>
        <w:t>Cadena formal de aprobación</w:t>
      </w:r>
      <w:r>
        <w:t xml:space="preserve"> (ver 5.2) hasta </w:t>
      </w:r>
      <w:r>
        <w:rPr>
          <w:rFonts w:ascii="Consolas" w:hAnsi="Consolas" w:eastAsia="Consolas"/>
          <w:color w:val="9F1239"/>
          <w:sz w:val="20"/>
        </w:rPr>
        <w:t>Approved</w:t>
      </w:r>
      <w:r>
        <w:t xml:space="preserve">, o </w:t>
      </w:r>
      <w:r>
        <w:rPr>
          <w:rFonts w:ascii="Consolas" w:hAnsi="Consolas" w:eastAsia="Consolas"/>
          <w:color w:val="9F1239"/>
          <w:sz w:val="20"/>
        </w:rPr>
        <w:t>Rejected</w:t>
      </w:r>
      <w:r>
        <w:t xml:space="preserve"> si alguien rechaza.</w:t>
      </w:r>
    </w:p>
    <w:p>
      <w:pPr>
        <w:pStyle w:val="ListNumber"/>
        <w:spacing w:after="40"/>
      </w:pPr>
      <w:r>
        <w:rPr>
          <w:b/>
        </w:rPr>
        <w:t>Finanzas:</w:t>
      </w:r>
      <w:r>
        <w:t xml:space="preserve"> el Finance Manager de la solicitud puede enviar un resumen de facturación por correo (ver sección 10).</w:t>
      </w:r>
    </w:p>
    <w:p>
      <w:pPr>
        <w:pStyle w:val="Heading2"/>
      </w:pPr>
      <w:r>
        <w:t>5.2 Cadena formal de aprobación</w:t>
      </w:r>
    </w:p>
    <w:p>
      <w:r>
        <w:t>Los pasos se crean al enviar la solicitud, en este orden (</w:t>
      </w:r>
      <w:r>
        <w:rPr>
          <w:rFonts w:ascii="Consolas" w:hAnsi="Consolas" w:eastAsia="Consolas"/>
          <w:color w:val="9F1239"/>
          <w:sz w:val="20"/>
        </w:rPr>
        <w:t>StepOrder</w:t>
      </w:r>
      <w:r>
        <w:t xml:space="preserve"> 1–8):</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2436"/>
        <w:gridCol w:w="2436"/>
        <w:gridCol w:w="2436"/>
        <w:gridCol w:w="2436"/>
      </w:tblGrid>
      <w:tr>
        <w:trPr>
          <w:tblHeader w:val="true"/>
        </w:trPr>
        <w:tc>
          <w:tcPr>
            <w:tcW w:type="dxa" w:w="2436"/>
            <w:shd w:val="clear" w:color="auto" w:fill="1E3A8A"/>
          </w:tcPr>
          <w:p>
            <w:pPr>
              <w:spacing w:after="40"/>
            </w:pPr>
            <w:r>
              <w:rPr>
                <w:b/>
                <w:color w:val="FFFFFF"/>
                <w:sz w:val="18"/>
              </w:rPr>
              <w:t>#</w:t>
            </w:r>
          </w:p>
        </w:tc>
        <w:tc>
          <w:tcPr>
            <w:tcW w:type="dxa" w:w="2436"/>
            <w:shd w:val="clear" w:color="auto" w:fill="1E3A8A"/>
          </w:tcPr>
          <w:p>
            <w:pPr>
              <w:spacing w:after="40"/>
            </w:pPr>
            <w:r>
              <w:rPr>
                <w:b/>
                <w:color w:val="FFFFFF"/>
                <w:sz w:val="18"/>
              </w:rPr>
              <w:t>Rol</w:t>
            </w:r>
          </w:p>
        </w:tc>
        <w:tc>
          <w:tcPr>
            <w:tcW w:type="dxa" w:w="2436"/>
            <w:shd w:val="clear" w:color="auto" w:fill="1E3A8A"/>
          </w:tcPr>
          <w:p>
            <w:pPr>
              <w:spacing w:after="40"/>
            </w:pPr>
            <w:r>
              <w:rPr>
                <w:b/>
                <w:color w:val="FFFFFF"/>
                <w:sz w:val="18"/>
              </w:rPr>
              <w:t>Obligatorio</w:t>
            </w:r>
          </w:p>
        </w:tc>
        <w:tc>
          <w:tcPr>
            <w:tcW w:type="dxa" w:w="2436"/>
            <w:shd w:val="clear" w:color="auto" w:fill="1E3A8A"/>
          </w:tcPr>
          <w:p>
            <w:pPr>
              <w:spacing w:after="40"/>
            </w:pPr>
            <w:r>
              <w:rPr>
                <w:b/>
                <w:color w:val="FFFFFF"/>
                <w:sz w:val="18"/>
              </w:rPr>
              <w:t>Quién aprueba</w:t>
            </w:r>
          </w:p>
        </w:tc>
      </w:tr>
      <w:tr>
        <w:tc>
          <w:tcPr>
            <w:tcW w:type="dxa" w:w="2436"/>
          </w:tcPr>
          <w:p>
            <w:pPr>
              <w:spacing w:after="40"/>
            </w:pPr>
            <w:r>
              <w:rPr>
                <w:sz w:val="18"/>
              </w:rPr>
              <w:t>1</w:t>
            </w:r>
          </w:p>
        </w:tc>
        <w:tc>
          <w:tcPr>
            <w:tcW w:type="dxa" w:w="2436"/>
          </w:tcPr>
          <w:p>
            <w:pPr>
              <w:spacing w:after="40"/>
            </w:pPr>
            <w:r>
              <w:rPr>
                <w:sz w:val="18"/>
              </w:rPr>
              <w:t>User Manager</w:t>
            </w:r>
          </w:p>
        </w:tc>
        <w:tc>
          <w:tcPr>
            <w:tcW w:type="dxa" w:w="2436"/>
          </w:tcPr>
          <w:p>
            <w:pPr>
              <w:spacing w:after="40"/>
            </w:pPr>
            <w:r>
              <w:rPr>
                <w:sz w:val="18"/>
              </w:rPr>
              <w:t>Siempre</w:t>
            </w:r>
          </w:p>
        </w:tc>
        <w:tc>
          <w:tcPr>
            <w:tcW w:type="dxa" w:w="2436"/>
          </w:tcPr>
          <w:p>
            <w:pPr>
              <w:spacing w:after="40"/>
            </w:pPr>
            <w:r>
              <w:rPr>
                <w:sz w:val="18"/>
              </w:rPr>
              <w:t>El Manager elegido por el solicitante en el paso 1</w:t>
            </w:r>
          </w:p>
        </w:tc>
      </w:tr>
      <w:tr>
        <w:tc>
          <w:tcPr>
            <w:tcW w:type="dxa" w:w="2436"/>
            <w:shd w:val="clear" w:color="auto" w:fill="F1F5FB"/>
          </w:tcPr>
          <w:p>
            <w:pPr>
              <w:spacing w:after="40"/>
            </w:pPr>
            <w:r>
              <w:rPr>
                <w:sz w:val="18"/>
              </w:rPr>
              <w:t>2</w:t>
            </w:r>
          </w:p>
        </w:tc>
        <w:tc>
          <w:tcPr>
            <w:tcW w:type="dxa" w:w="2436"/>
            <w:shd w:val="clear" w:color="auto" w:fill="F1F5FB"/>
          </w:tcPr>
          <w:p>
            <w:pPr>
              <w:spacing w:after="40"/>
            </w:pPr>
            <w:r>
              <w:rPr>
                <w:sz w:val="18"/>
              </w:rPr>
              <w:t>Sales Manager</w:t>
            </w:r>
          </w:p>
        </w:tc>
        <w:tc>
          <w:tcPr>
            <w:tcW w:type="dxa" w:w="2436"/>
            <w:shd w:val="clear" w:color="auto" w:fill="F1F5FB"/>
          </w:tcPr>
          <w:p>
            <w:pPr>
              <w:spacing w:after="40"/>
            </w:pPr>
            <w:r>
              <w:rPr>
                <w:sz w:val="18"/>
              </w:rPr>
              <w:t xml:space="preserve">Solo si el pago de Premium Freight es </w:t>
            </w:r>
            <w:r>
              <w:rPr>
                <w:i/>
                <w:sz w:val="18"/>
              </w:rPr>
              <w:t>Reembolsable por Cliente</w:t>
            </w:r>
          </w:p>
        </w:tc>
        <w:tc>
          <w:tcPr>
            <w:tcW w:type="dxa" w:w="2436"/>
            <w:shd w:val="clear" w:color="auto" w:fill="F1F5FB"/>
          </w:tcPr>
          <w:p>
            <w:pPr>
              <w:spacing w:after="40"/>
            </w:pPr>
            <w:r>
              <w:rPr>
                <w:sz w:val="18"/>
              </w:rPr>
              <w:t xml:space="preserve">Persona asignada al rol en </w:t>
            </w:r>
            <w:r>
              <w:rPr>
                <w:rFonts w:ascii="Consolas" w:hAnsi="Consolas" w:eastAsia="Consolas"/>
                <w:color w:val="9F1239"/>
                <w:sz w:val="17"/>
              </w:rPr>
              <w:t>/admin/permissions</w:t>
            </w:r>
          </w:p>
        </w:tc>
      </w:tr>
      <w:tr>
        <w:tc>
          <w:tcPr>
            <w:tcW w:type="dxa" w:w="2436"/>
          </w:tcPr>
          <w:p>
            <w:pPr>
              <w:spacing w:after="40"/>
            </w:pPr>
            <w:r>
              <w:rPr>
                <w:sz w:val="18"/>
              </w:rPr>
              <w:t>3</w:t>
            </w:r>
          </w:p>
        </w:tc>
        <w:tc>
          <w:tcPr>
            <w:tcW w:type="dxa" w:w="2436"/>
          </w:tcPr>
          <w:p>
            <w:pPr>
              <w:spacing w:after="40"/>
            </w:pPr>
            <w:r>
              <w:rPr>
                <w:sz w:val="18"/>
              </w:rPr>
              <w:t>Procurement Manager</w:t>
            </w:r>
          </w:p>
        </w:tc>
        <w:tc>
          <w:tcPr>
            <w:tcW w:type="dxa" w:w="2436"/>
          </w:tcPr>
          <w:p>
            <w:pPr>
              <w:spacing w:after="40"/>
            </w:pPr>
            <w:r>
              <w:rPr>
                <w:sz w:val="18"/>
              </w:rPr>
              <w:t xml:space="preserve">Solo si el pago de Premium Freight es </w:t>
            </w:r>
            <w:r>
              <w:rPr>
                <w:i/>
                <w:sz w:val="18"/>
              </w:rPr>
              <w:t>Reembolsable por Proveedor</w:t>
            </w:r>
          </w:p>
        </w:tc>
        <w:tc>
          <w:tcPr>
            <w:tcW w:type="dxa" w:w="2436"/>
          </w:tcPr>
          <w:p>
            <w:pPr>
              <w:spacing w:after="40"/>
            </w:pPr>
            <w:r>
              <w:rPr>
                <w:sz w:val="18"/>
              </w:rPr>
              <w:t>Ídem</w:t>
            </w:r>
          </w:p>
        </w:tc>
      </w:tr>
      <w:tr>
        <w:tc>
          <w:tcPr>
            <w:tcW w:type="dxa" w:w="2436"/>
            <w:shd w:val="clear" w:color="auto" w:fill="F1F5FB"/>
          </w:tcPr>
          <w:p>
            <w:pPr>
              <w:spacing w:after="40"/>
            </w:pPr>
            <w:r>
              <w:rPr>
                <w:sz w:val="18"/>
              </w:rPr>
              <w:t>4</w:t>
            </w:r>
          </w:p>
        </w:tc>
        <w:tc>
          <w:tcPr>
            <w:tcW w:type="dxa" w:w="2436"/>
            <w:shd w:val="clear" w:color="auto" w:fill="F1F5FB"/>
          </w:tcPr>
          <w:p>
            <w:pPr>
              <w:spacing w:after="40"/>
            </w:pPr>
            <w:r>
              <w:rPr>
                <w:sz w:val="18"/>
              </w:rPr>
              <w:t>Finance Manager</w:t>
            </w:r>
          </w:p>
        </w:tc>
        <w:tc>
          <w:tcPr>
            <w:tcW w:type="dxa" w:w="2436"/>
            <w:shd w:val="clear" w:color="auto" w:fill="F1F5FB"/>
          </w:tcPr>
          <w:p>
            <w:pPr>
              <w:spacing w:after="40"/>
            </w:pPr>
            <w:r>
              <w:rPr>
                <w:sz w:val="18"/>
              </w:rPr>
              <w:t>Siempre</w:t>
            </w:r>
          </w:p>
        </w:tc>
        <w:tc>
          <w:tcPr>
            <w:tcW w:type="dxa" w:w="2436"/>
            <w:shd w:val="clear" w:color="auto" w:fill="F1F5FB"/>
          </w:tcPr>
          <w:p>
            <w:pPr>
              <w:spacing w:after="40"/>
            </w:pPr>
            <w:r>
              <w:rPr>
                <w:sz w:val="18"/>
              </w:rPr>
              <w:t>Ídem</w:t>
            </w:r>
          </w:p>
        </w:tc>
      </w:tr>
      <w:tr>
        <w:tc>
          <w:tcPr>
            <w:tcW w:type="dxa" w:w="2436"/>
          </w:tcPr>
          <w:p>
            <w:pPr>
              <w:spacing w:after="40"/>
            </w:pPr>
            <w:r>
              <w:rPr>
                <w:sz w:val="18"/>
              </w:rPr>
              <w:t>5</w:t>
            </w:r>
          </w:p>
        </w:tc>
        <w:tc>
          <w:tcPr>
            <w:tcW w:type="dxa" w:w="2436"/>
          </w:tcPr>
          <w:p>
            <w:pPr>
              <w:spacing w:after="40"/>
            </w:pPr>
            <w:r>
              <w:rPr>
                <w:sz w:val="18"/>
              </w:rPr>
              <w:t>President</w:t>
            </w:r>
          </w:p>
        </w:tc>
        <w:tc>
          <w:tcPr>
            <w:tcW w:type="dxa" w:w="2436"/>
          </w:tcPr>
          <w:p>
            <w:pPr>
              <w:spacing w:after="40"/>
            </w:pPr>
            <w:r>
              <w:rPr>
                <w:sz w:val="18"/>
              </w:rPr>
              <w:t>Siempre</w:t>
            </w:r>
          </w:p>
        </w:tc>
        <w:tc>
          <w:tcPr>
            <w:tcW w:type="dxa" w:w="2436"/>
          </w:tcPr>
          <w:p>
            <w:pPr>
              <w:spacing w:after="40"/>
            </w:pPr>
            <w:r>
              <w:rPr>
                <w:sz w:val="18"/>
              </w:rPr>
              <w:t>Ídem</w:t>
            </w:r>
          </w:p>
        </w:tc>
      </w:tr>
      <w:tr>
        <w:tc>
          <w:tcPr>
            <w:tcW w:type="dxa" w:w="2436"/>
            <w:shd w:val="clear" w:color="auto" w:fill="F1F5FB"/>
          </w:tcPr>
          <w:p>
            <w:pPr>
              <w:spacing w:after="40"/>
            </w:pPr>
            <w:r>
              <w:rPr>
                <w:sz w:val="18"/>
              </w:rPr>
              <w:t>6</w:t>
            </w:r>
          </w:p>
        </w:tc>
        <w:tc>
          <w:tcPr>
            <w:tcW w:type="dxa" w:w="2436"/>
            <w:shd w:val="clear" w:color="auto" w:fill="F1F5FB"/>
          </w:tcPr>
          <w:p>
            <w:pPr>
              <w:spacing w:after="40"/>
            </w:pPr>
            <w:r>
              <w:rPr>
                <w:sz w:val="18"/>
              </w:rPr>
              <w:t>Trade Staff</w:t>
            </w:r>
          </w:p>
        </w:tc>
        <w:tc>
          <w:tcPr>
            <w:tcW w:type="dxa" w:w="2436"/>
            <w:shd w:val="clear" w:color="auto" w:fill="F1F5FB"/>
          </w:tcPr>
          <w:p>
            <w:pPr>
              <w:spacing w:after="40"/>
            </w:pPr>
            <w:r>
              <w:rPr>
                <w:sz w:val="18"/>
              </w:rPr>
              <w:t>Siempre</w:t>
            </w:r>
          </w:p>
        </w:tc>
        <w:tc>
          <w:tcPr>
            <w:tcW w:type="dxa" w:w="2436"/>
            <w:shd w:val="clear" w:color="auto" w:fill="F1F5FB"/>
          </w:tcPr>
          <w:p>
            <w:pPr>
              <w:spacing w:after="40"/>
            </w:pPr>
            <w:r>
              <w:rPr>
                <w:sz w:val="18"/>
              </w:rPr>
              <w:t>Ídem (aprobación formal, distinta de la subida de cotizaciones)</w:t>
            </w:r>
          </w:p>
        </w:tc>
      </w:tr>
      <w:tr>
        <w:tc>
          <w:tcPr>
            <w:tcW w:type="dxa" w:w="2436"/>
          </w:tcPr>
          <w:p>
            <w:pPr>
              <w:spacing w:after="40"/>
            </w:pPr>
            <w:r>
              <w:rPr>
                <w:sz w:val="18"/>
              </w:rPr>
              <w:t>7</w:t>
            </w:r>
          </w:p>
        </w:tc>
        <w:tc>
          <w:tcPr>
            <w:tcW w:type="dxa" w:w="2436"/>
          </w:tcPr>
          <w:p>
            <w:pPr>
              <w:spacing w:after="40"/>
            </w:pPr>
            <w:r>
              <w:rPr>
                <w:sz w:val="18"/>
              </w:rPr>
              <w:t>Trade Manager</w:t>
            </w:r>
          </w:p>
        </w:tc>
        <w:tc>
          <w:tcPr>
            <w:tcW w:type="dxa" w:w="2436"/>
          </w:tcPr>
          <w:p>
            <w:pPr>
              <w:spacing w:after="40"/>
            </w:pPr>
            <w:r>
              <w:rPr>
                <w:sz w:val="18"/>
              </w:rPr>
              <w:t>Siempre</w:t>
            </w:r>
          </w:p>
        </w:tc>
        <w:tc>
          <w:tcPr>
            <w:tcW w:type="dxa" w:w="2436"/>
          </w:tcPr>
          <w:p>
            <w:pPr>
              <w:spacing w:after="40"/>
            </w:pPr>
            <w:r>
              <w:rPr>
                <w:sz w:val="18"/>
              </w:rPr>
              <w:t>Ídem</w:t>
            </w:r>
          </w:p>
        </w:tc>
      </w:tr>
      <w:tr>
        <w:tc>
          <w:tcPr>
            <w:tcW w:type="dxa" w:w="2436"/>
            <w:shd w:val="clear" w:color="auto" w:fill="F1F5FB"/>
          </w:tcPr>
          <w:p>
            <w:pPr>
              <w:spacing w:after="40"/>
            </w:pPr>
            <w:r>
              <w:rPr>
                <w:sz w:val="18"/>
              </w:rPr>
              <w:t>8</w:t>
            </w:r>
          </w:p>
        </w:tc>
        <w:tc>
          <w:tcPr>
            <w:tcW w:type="dxa" w:w="2436"/>
            <w:shd w:val="clear" w:color="auto" w:fill="F1F5FB"/>
          </w:tcPr>
          <w:p>
            <w:pPr>
              <w:spacing w:after="40"/>
            </w:pPr>
            <w:r>
              <w:rPr>
                <w:sz w:val="18"/>
              </w:rPr>
              <w:t>Trade Coordinator</w:t>
            </w:r>
          </w:p>
        </w:tc>
        <w:tc>
          <w:tcPr>
            <w:tcW w:type="dxa" w:w="2436"/>
            <w:shd w:val="clear" w:color="auto" w:fill="F1F5FB"/>
          </w:tcPr>
          <w:p>
            <w:pPr>
              <w:spacing w:after="40"/>
            </w:pPr>
            <w:r>
              <w:rPr>
                <w:sz w:val="18"/>
              </w:rPr>
              <w:t>Siempre</w:t>
            </w:r>
          </w:p>
        </w:tc>
        <w:tc>
          <w:tcPr>
            <w:tcW w:type="dxa" w:w="2436"/>
            <w:shd w:val="clear" w:color="auto" w:fill="F1F5FB"/>
          </w:tcPr>
          <w:p>
            <w:pPr>
              <w:spacing w:after="40"/>
            </w:pPr>
            <w:r>
              <w:rPr>
                <w:sz w:val="18"/>
              </w:rPr>
              <w:t>Ídem</w:t>
            </w:r>
          </w:p>
        </w:tc>
      </w:tr>
    </w:tbl>
    <w:p>
      <w:pPr>
        <w:spacing w:after="40"/>
      </w:pPr>
    </w:p>
    <w:p>
      <w:r>
        <w:rPr>
          <w:rFonts w:ascii="Consolas" w:hAnsi="Consolas" w:eastAsia="Consolas"/>
          <w:color w:val="9F1239"/>
          <w:sz w:val="20"/>
        </w:rPr>
        <w:t>ProcessApprovalAsync</w:t>
      </w:r>
      <w:r>
        <w:t xml:space="preserve"> marca el paso, y si fue aprobado avanza al siguiente paso obligatorio incompleto (asignando el </w:t>
      </w:r>
      <w:r>
        <w:rPr>
          <w:rFonts w:ascii="Consolas" w:hAnsi="Consolas" w:eastAsia="Consolas"/>
          <w:color w:val="9F1239"/>
          <w:sz w:val="20"/>
        </w:rPr>
        <w:t>RequestStatus</w:t>
      </w:r>
      <w:r>
        <w:t xml:space="preserve"> correspondiente); si no quedan pasos → </w:t>
      </w:r>
      <w:r>
        <w:rPr>
          <w:rFonts w:ascii="Consolas" w:hAnsi="Consolas" w:eastAsia="Consolas"/>
          <w:color w:val="9F1239"/>
          <w:sz w:val="20"/>
        </w:rPr>
        <w:t>Approved</w:t>
      </w:r>
      <w:r>
        <w:t xml:space="preserve">; un rechazo → </w:t>
      </w:r>
      <w:r>
        <w:rPr>
          <w:rFonts w:ascii="Consolas" w:hAnsi="Consolas" w:eastAsia="Consolas"/>
          <w:color w:val="9F1239"/>
          <w:sz w:val="20"/>
        </w:rPr>
        <w:t>Rejected</w:t>
      </w:r>
      <w:r>
        <w:t xml:space="preserve">. Solo puede aprobar quien coincide por </w:t>
      </w:r>
      <w:r>
        <w:rPr>
          <w:b/>
        </w:rPr>
        <w:t>email</w:t>
      </w:r>
      <w:r>
        <w:t xml:space="preserve"> con </w:t>
      </w:r>
      <w:r>
        <w:rPr>
          <w:rFonts w:ascii="Consolas" w:hAnsi="Consolas" w:eastAsia="Consolas"/>
          <w:color w:val="9F1239"/>
          <w:sz w:val="20"/>
        </w:rPr>
        <w:t>ApproverEmail</w:t>
      </w:r>
      <w:r>
        <w:t xml:space="preserve"> del paso.</w:t>
      </w:r>
    </w:p>
    <w:p>
      <w:pPr>
        <w:pStyle w:val="Heading2"/>
      </w:pPr>
      <w:r>
        <w:t>5.3 Pantalla "Pendientes" (</w:t>
      </w:r>
      <w:r>
        <w:rPr>
          <w:rFonts w:ascii="Consolas" w:hAnsi="Consolas" w:eastAsia="Consolas"/>
          <w:color w:val="9F1239"/>
          <w:sz w:val="20"/>
        </w:rPr>
        <w:t>/approvals</w:t>
      </w:r>
      <w:r>
        <w:t>)</w:t>
      </w:r>
    </w:p>
    <w:p>
      <w:r>
        <w:rPr>
          <w:rFonts w:ascii="Consolas" w:hAnsi="Consolas" w:eastAsia="Consolas"/>
          <w:color w:val="9F1239"/>
          <w:sz w:val="20"/>
        </w:rPr>
        <w:t>GetPendingStepsForApproverAsync</w:t>
      </w:r>
      <w:r>
        <w:t xml:space="preserve"> muestra a cada usuario:</w:t>
      </w:r>
    </w:p>
    <w:p>
      <w:pPr>
        <w:pStyle w:val="ListBullet"/>
        <w:spacing w:after="40"/>
      </w:pPr>
      <w:r>
        <w:rPr>
          <w:b/>
        </w:rPr>
        <w:t xml:space="preserve">Solicitudes en </w:t>
      </w:r>
      <w:r>
        <w:rPr>
          <w:rFonts w:ascii="Consolas" w:hAnsi="Consolas" w:eastAsia="Consolas"/>
          <w:color w:val="9F1239"/>
          <w:sz w:val="20"/>
        </w:rPr>
        <w:t>PendingTradeStaffQuotes</w:t>
      </w:r>
      <w:r>
        <w:rPr>
          <w:b/>
        </w:rPr>
        <w:t>:</w:t>
      </w:r>
      <w:r>
        <w:t xml:space="preserve"> a quienes tienen el rol </w:t>
      </w:r>
      <w:r>
        <w:rPr>
          <w:i/>
        </w:rPr>
        <w:t>Trade Staff</w:t>
      </w:r>
      <w:r>
        <w:t xml:space="preserve"> en </w:t>
      </w:r>
      <w:r>
        <w:rPr>
          <w:rFonts w:ascii="Consolas" w:hAnsi="Consolas" w:eastAsia="Consolas"/>
          <w:color w:val="9F1239"/>
          <w:sz w:val="20"/>
        </w:rPr>
        <w:t>ApprovalRolePermission</w:t>
      </w:r>
      <w:r>
        <w:t xml:space="preserve">. Este caso se resuelve aparte porque ocurre </w:t>
      </w:r>
      <w:r>
        <w:rPr>
          <w:i/>
        </w:rPr>
        <w:t>antes</w:t>
      </w:r>
      <w:r>
        <w:t xml:space="preserve"> de que exista un paso de aprobación aplicable.</w:t>
      </w:r>
    </w:p>
    <w:p>
      <w:pPr>
        <w:pStyle w:val="ListBullet"/>
        <w:spacing w:after="40"/>
      </w:pPr>
      <w:r>
        <w:rPr>
          <w:b/>
        </w:rPr>
        <w:t>Solicitudes dentro de la cadena:</w:t>
      </w:r>
      <w:r>
        <w:t xml:space="preserve"> solo el paso de </w:t>
      </w:r>
      <w:r>
        <w:rPr>
          <w:b/>
        </w:rPr>
        <w:t xml:space="preserve">menor </w:t>
      </w:r>
      <w:r>
        <w:rPr>
          <w:rFonts w:ascii="Consolas" w:hAnsi="Consolas" w:eastAsia="Consolas"/>
          <w:color w:val="9F1239"/>
          <w:sz w:val="20"/>
        </w:rPr>
        <w:t>StepOrder</w:t>
      </w:r>
      <w:r>
        <w:rPr>
          <w:b/>
        </w:rPr>
        <w:t xml:space="preserve"> incompleto y obligatorio</w:t>
      </w:r>
      <w:r>
        <w:t xml:space="preserve"> de cada solicitud, si está asignado a ese usuario (evita duplicados y mostrar pasos que aún no son su turno).</w:t>
      </w:r>
    </w:p>
    <w:p>
      <w:pPr>
        <w:pStyle w:val="Heading2"/>
      </w:pPr>
      <w:r>
        <w:t>5.4 Reglas de validación del wizard</w:t>
      </w:r>
    </w:p>
    <w:p>
      <w:r>
        <w:t>Pasos de la interfaz: 1 Solicitante · 2 Direcciones · 3 Envío · 4 Paquetes · 5 Evidencias · 6 Observaciones.</w:t>
      </w:r>
    </w:p>
    <w:p>
      <w:pPr>
        <w:pStyle w:val="ListBullet"/>
        <w:spacing w:after="40"/>
      </w:pPr>
      <w:r>
        <w:rPr>
          <w:b/>
        </w:rPr>
        <w:t>Paso 1 (Solicitante):</w:t>
      </w:r>
      <w:r>
        <w:t xml:space="preserve"> nombre, email, departamento, unidad de negocio, Manager (de la lista) y, si el alcance es Nacional, la categoría (</w:t>
      </w:r>
      <w:r>
        <w:rPr>
          <w:b/>
        </w:rPr>
        <w:t>Compras</w:t>
      </w:r>
      <w:r>
        <w:t xml:space="preserve"> o </w:t>
      </w:r>
      <w:r>
        <w:rPr>
          <w:b/>
        </w:rPr>
        <w:t>Traslado</w:t>
      </w:r>
      <w:r>
        <w:t>).</w:t>
      </w:r>
    </w:p>
    <w:p>
      <w:pPr>
        <w:pStyle w:val="ListBullet"/>
        <w:spacing w:after="40"/>
      </w:pPr>
      <w:r>
        <w:rPr>
          <w:b/>
        </w:rPr>
        <w:t>Paso 2 (Direcciones):</w:t>
      </w:r>
      <w:r>
        <w:t xml:space="preserve"> razón social y dirección del destinatario.</w:t>
      </w:r>
    </w:p>
    <w:p>
      <w:pPr>
        <w:pStyle w:val="ListBullet"/>
        <w:spacing w:after="40"/>
      </w:pPr>
      <w:r>
        <w:rPr>
          <w:b/>
        </w:rPr>
        <w:t>Paso 3 (Envío):</w:t>
      </w:r>
      <w:r>
        <w:t xml:space="preserve"> propósito del envío, al menos un tramo de flete e indicar si es estibable; fecha de entrega (si se captura) </w:t>
      </w:r>
      <w:r>
        <w:rPr>
          <w:b/>
        </w:rPr>
        <w:t>posterior a hoy</w:t>
      </w:r>
      <w:r>
        <w:t xml:space="preserve">; si el pago es </w:t>
      </w:r>
      <w:r>
        <w:rPr>
          <w:i/>
        </w:rPr>
        <w:t>Receiver</w:t>
      </w:r>
      <w:r>
        <w:t xml:space="preserve">, </w:t>
      </w:r>
      <w:r>
        <w:rPr>
          <w:b/>
        </w:rPr>
        <w:t>Parcel Account obligatorio</w:t>
      </w:r>
      <w:r>
        <w:t xml:space="preserve"> y se elige paquetería (FedEx, UPS, DHL, Otro).</w:t>
      </w:r>
    </w:p>
    <w:p>
      <w:pPr>
        <w:pStyle w:val="ListBullet"/>
        <w:spacing w:after="40"/>
      </w:pPr>
      <w:r>
        <w:rPr>
          <w:b/>
        </w:rPr>
        <w:t>Paso 4 (Paquetes):</w:t>
      </w:r>
      <w:r>
        <w:t xml:space="preserve"> peso bruto mayor que la suma de netos por contenedor (modal de error).</w:t>
      </w:r>
    </w:p>
    <w:p>
      <w:pPr>
        <w:pStyle w:val="ListBullet"/>
        <w:spacing w:after="40"/>
      </w:pPr>
      <w:r>
        <w:rPr>
          <w:b/>
        </w:rPr>
        <w:t>Paso 5 (Evidencias):</w:t>
      </w:r>
      <w:r>
        <w:t xml:space="preserve"> </w:t>
      </w:r>
      <w:r>
        <w:rPr>
          <w:b/>
        </w:rPr>
        <w:t>4 fotos obligatorias</w:t>
      </w:r>
      <w:r>
        <w:t xml:space="preserve"> (Peso Neto, Peso Bruto, Dimensiones, Empaque Final; JPG/PNG, máx. 8 MB). En "Empaque Final" se indica que si el paquete lleva etiqueta también debe fotografiarse.</w:t>
      </w:r>
    </w:p>
    <w:p>
      <w:pPr>
        <w:pStyle w:val="ListBullet"/>
        <w:spacing w:after="40"/>
      </w:pPr>
      <w:r>
        <w:rPr>
          <w:b/>
        </w:rPr>
        <w:t>Paso 6 (Observaciones):</w:t>
      </w:r>
      <w:r>
        <w:t xml:space="preserve"> si no hay Folio de Baja de Material (MX-7104-F1), se exige justificación (se agrega a las observaciones).</w:t>
      </w:r>
    </w:p>
    <w:p>
      <w:pPr>
        <w:pStyle w:val="ListBullet"/>
        <w:spacing w:after="40"/>
      </w:pPr>
      <w:r>
        <w:t xml:space="preserve">El </w:t>
      </w:r>
      <w:r>
        <w:rPr>
          <w:b/>
        </w:rPr>
        <w:t>Incoterm, el COO y el Tipo de Operación</w:t>
      </w:r>
      <w:r>
        <w:t xml:space="preserve"> los determina Trade Staff, no el solicitante.</w:t>
      </w:r>
    </w:p>
    <w:p>
      <w:pPr>
        <w:pStyle w:val="Heading2"/>
      </w:pPr>
      <w:r>
        <w:t>5.5 Catálogos usados en la captura</w:t>
      </w:r>
    </w:p>
    <w:p>
      <w:pPr>
        <w:pStyle w:val="ListBullet"/>
        <w:spacing w:after="40"/>
      </w:pPr>
      <w:r>
        <w:rPr>
          <w:b/>
        </w:rPr>
        <w:t>Manager/Supervisor:</w:t>
      </w:r>
      <w:r>
        <w:t xml:space="preserve"> lista con buscador sobre </w:t>
      </w:r>
      <w:r>
        <w:rPr>
          <w:rFonts w:ascii="Consolas" w:hAnsi="Consolas" w:eastAsia="Consolas"/>
          <w:color w:val="9F1239"/>
          <w:sz w:val="20"/>
        </w:rPr>
        <w:t>meax_all_user</w:t>
      </w:r>
      <w:r>
        <w:t xml:space="preserve">, limitada a puestos </w:t>
      </w:r>
      <w:r>
        <w:rPr>
          <w:rFonts w:ascii="Consolas" w:hAnsi="Consolas" w:eastAsia="Consolas"/>
          <w:color w:val="9F1239"/>
          <w:sz w:val="20"/>
        </w:rPr>
        <w:t>DGM</w:t>
      </w:r>
      <w:r>
        <w:t xml:space="preserve">, </w:t>
      </w:r>
      <w:r>
        <w:rPr>
          <w:rFonts w:ascii="Consolas" w:hAnsi="Consolas" w:eastAsia="Consolas"/>
          <w:color w:val="9F1239"/>
          <w:sz w:val="20"/>
        </w:rPr>
        <w:t>MGR</w:t>
      </w:r>
      <w:r>
        <w:t xml:space="preserve">, </w:t>
      </w:r>
      <w:r>
        <w:rPr>
          <w:rFonts w:ascii="Consolas" w:hAnsi="Consolas" w:eastAsia="Consolas"/>
          <w:color w:val="9F1239"/>
          <w:sz w:val="20"/>
        </w:rPr>
        <w:t>AMGR</w:t>
      </w:r>
      <w:r>
        <w:t>.</w:t>
      </w:r>
    </w:p>
    <w:p>
      <w:pPr>
        <w:pStyle w:val="ListBullet"/>
        <w:spacing w:after="40"/>
      </w:pPr>
      <w:r>
        <w:rPr>
          <w:b/>
        </w:rPr>
        <w:t>Clientes:</w:t>
      </w:r>
      <w:r>
        <w:t xml:space="preserve"> selector en </w:t>
      </w:r>
      <w:r>
        <w:rPr>
          <w:i/>
        </w:rPr>
        <w:t>Comprador</w:t>
      </w:r>
      <w:r>
        <w:t xml:space="preserve"> y </w:t>
      </w:r>
      <w:r>
        <w:rPr>
          <w:i/>
        </w:rPr>
        <w:t>Destinatario</w:t>
      </w:r>
      <w:r>
        <w:t xml:space="preserve"> que autollena razón social, RFC y dirección desde </w:t>
      </w:r>
      <w:r>
        <w:rPr>
          <w:rFonts w:ascii="Consolas" w:hAnsi="Consolas" w:eastAsia="Consolas"/>
          <w:color w:val="9F1239"/>
          <w:sz w:val="20"/>
        </w:rPr>
        <w:t>CustomerCatalog</w:t>
      </w:r>
      <w:r>
        <w:t xml:space="preserve"> (los campos siguen editables; se puede capturar a mano si el cliente no está).</w:t>
      </w:r>
    </w:p>
    <w:p>
      <w:pPr>
        <w:pStyle w:val="ListBullet"/>
        <w:spacing w:after="40"/>
      </w:pPr>
      <w:r>
        <w:rPr>
          <w:b/>
        </w:rPr>
        <w:t>Números de parte:</w:t>
      </w:r>
      <w:r>
        <w:t xml:space="preserve"> autocompletar en las partidas desde </w:t>
      </w:r>
      <w:r>
        <w:rPr>
          <w:rFonts w:ascii="Consolas" w:hAnsi="Consolas" w:eastAsia="Consolas"/>
          <w:color w:val="9F1239"/>
          <w:sz w:val="20"/>
        </w:rPr>
        <w:t>PartCatalog</w:t>
      </w:r>
      <w:r>
        <w:t>.</w:t>
      </w:r>
    </w:p>
    <w:p>
      <w:pPr>
        <w:pStyle w:val="Heading1"/>
      </w:pPr>
      <w:r>
        <w:t>6. Autenticación y autorización</w:t>
      </w:r>
    </w:p>
    <w:p>
      <w:pPr>
        <w:pStyle w:val="Heading2"/>
      </w:pPr>
      <w:r>
        <w:t>6.1 Modos de autenticación</w:t>
      </w:r>
    </w:p>
    <w:p>
      <w:r>
        <w:t xml:space="preserve">El modo se decide en </w:t>
      </w:r>
      <w:r>
        <w:rPr>
          <w:rFonts w:ascii="Consolas" w:hAnsi="Consolas" w:eastAsia="Consolas"/>
          <w:color w:val="9F1239"/>
          <w:sz w:val="20"/>
        </w:rPr>
        <w:t>Program.cs</w:t>
      </w:r>
      <w:r>
        <w:t>:</w:t>
      </w:r>
    </w:p>
    <w:p>
      <w:pPr>
        <w:spacing w:after="0"/>
        <w:ind w:left="227"/>
        <w:shd w:val="clear" w:color="auto" w:fill="EEF1F7"/>
      </w:pPr>
      <w:r>
        <w:rPr>
          <w:rFonts w:ascii="Consolas" w:hAnsi="Consolas" w:eastAsia="Consolas"/>
          <w:sz w:val="18"/>
        </w:rPr>
        <w:t>modo dev = Environment.IsDevelopment() &amp;&amp; Auth:DevLogin == true</w:t>
      </w:r>
    </w:p>
    <w:p>
      <w:pPr>
        <w:spacing w:after="40"/>
      </w:pPr>
    </w:p>
    <w:p>
      <w:r>
        <w:t xml:space="preserve">Doble candado: en IIS el entorno es </w:t>
      </w:r>
      <w:r>
        <w:rPr>
          <w:i/>
        </w:rPr>
        <w:t>Production</w:t>
      </w:r>
      <w:r>
        <w:t>, así que el modo dev es imposible ahí aunque el indicador se copie por error.</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3249"/>
        <w:gridCol w:w="3249"/>
        <w:gridCol w:w="3249"/>
      </w:tblGrid>
      <w:tr>
        <w:trPr>
          <w:tblHeader w:val="true"/>
        </w:trPr>
        <w:tc>
          <w:tcPr>
            <w:tcW w:type="dxa" w:w="3249"/>
            <w:shd w:val="clear" w:color="auto" w:fill="1E3A8A"/>
          </w:tcPr>
          <w:p>
            <w:pPr>
              <w:spacing w:after="40"/>
            </w:pPr>
          </w:p>
        </w:tc>
        <w:tc>
          <w:tcPr>
            <w:tcW w:type="dxa" w:w="3249"/>
            <w:shd w:val="clear" w:color="auto" w:fill="1E3A8A"/>
          </w:tcPr>
          <w:p>
            <w:pPr>
              <w:spacing w:after="40"/>
            </w:pPr>
            <w:r>
              <w:rPr>
                <w:b/>
                <w:color w:val="FFFFFF"/>
                <w:sz w:val="18"/>
              </w:rPr>
              <w:t>Producción (Meax One)</w:t>
            </w:r>
          </w:p>
        </w:tc>
        <w:tc>
          <w:tcPr>
            <w:tcW w:type="dxa" w:w="3249"/>
            <w:shd w:val="clear" w:color="auto" w:fill="1E3A8A"/>
          </w:tcPr>
          <w:p>
            <w:pPr>
              <w:spacing w:after="40"/>
            </w:pPr>
            <w:r>
              <w:rPr>
                <w:b/>
                <w:color w:val="FFFFFF"/>
                <w:sz w:val="18"/>
              </w:rPr>
              <w:t>Desarrollo</w:t>
            </w:r>
          </w:p>
        </w:tc>
      </w:tr>
      <w:tr>
        <w:tc>
          <w:tcPr>
            <w:tcW w:type="dxa" w:w="3249"/>
          </w:tcPr>
          <w:p>
            <w:pPr>
              <w:spacing w:after="40"/>
            </w:pPr>
            <w:r>
              <w:rPr>
                <w:sz w:val="18"/>
              </w:rPr>
              <w:t>Registro</w:t>
            </w:r>
          </w:p>
        </w:tc>
        <w:tc>
          <w:tcPr>
            <w:tcW w:type="dxa" w:w="3249"/>
          </w:tcPr>
          <w:p>
            <w:pPr>
              <w:spacing w:after="40"/>
            </w:pPr>
            <w:r>
              <w:rPr>
                <w:rFonts w:ascii="Consolas" w:hAnsi="Consolas" w:eastAsia="Consolas"/>
                <w:color w:val="9F1239"/>
                <w:sz w:val="17"/>
              </w:rPr>
              <w:t>AddHubAuth(...)</w:t>
            </w:r>
          </w:p>
        </w:tc>
        <w:tc>
          <w:tcPr>
            <w:tcW w:type="dxa" w:w="3249"/>
          </w:tcPr>
          <w:p>
            <w:pPr>
              <w:spacing w:after="40"/>
            </w:pPr>
            <w:r>
              <w:rPr>
                <w:rFonts w:ascii="Consolas" w:hAnsi="Consolas" w:eastAsia="Consolas"/>
                <w:color w:val="9F1239"/>
                <w:sz w:val="17"/>
              </w:rPr>
              <w:t>AddDevAuth()</w:t>
            </w:r>
          </w:p>
        </w:tc>
      </w:tr>
      <w:tr>
        <w:tc>
          <w:tcPr>
            <w:tcW w:type="dxa" w:w="3249"/>
            <w:shd w:val="clear" w:color="auto" w:fill="F1F5FB"/>
          </w:tcPr>
          <w:p>
            <w:pPr>
              <w:spacing w:after="40"/>
            </w:pPr>
            <w:r>
              <w:rPr>
                <w:sz w:val="18"/>
              </w:rPr>
              <w:t>Login</w:t>
            </w:r>
          </w:p>
        </w:tc>
        <w:tc>
          <w:tcPr>
            <w:tcW w:type="dxa" w:w="3249"/>
            <w:shd w:val="clear" w:color="auto" w:fill="F1F5FB"/>
          </w:tcPr>
          <w:p>
            <w:pPr>
              <w:spacing w:after="40"/>
            </w:pPr>
            <w:r>
              <w:rPr>
                <w:sz w:val="18"/>
              </w:rPr>
              <w:t>Redirección al hub (SSO)</w:t>
            </w:r>
          </w:p>
        </w:tc>
        <w:tc>
          <w:tcPr>
            <w:tcW w:type="dxa" w:w="3249"/>
            <w:shd w:val="clear" w:color="auto" w:fill="F1F5FB"/>
          </w:tcPr>
          <w:p>
            <w:pPr>
              <w:spacing w:after="40"/>
            </w:pPr>
            <w:r>
              <w:rPr>
                <w:sz w:val="18"/>
              </w:rPr>
              <w:t xml:space="preserve">Página </w:t>
            </w:r>
            <w:r>
              <w:rPr>
                <w:rFonts w:ascii="Consolas" w:hAnsi="Consolas" w:eastAsia="Consolas"/>
                <w:color w:val="9F1239"/>
                <w:sz w:val="17"/>
              </w:rPr>
              <w:t>/login</w:t>
            </w:r>
            <w:r>
              <w:rPr>
                <w:sz w:val="18"/>
              </w:rPr>
              <w:t xml:space="preserve"> con usuario libre + contraseña fija (</w:t>
            </w:r>
            <w:r>
              <w:rPr>
                <w:rFonts w:ascii="Consolas" w:hAnsi="Consolas" w:eastAsia="Consolas"/>
                <w:color w:val="9F1239"/>
                <w:sz w:val="17"/>
              </w:rPr>
              <w:t>Auth:DevPassword</w:t>
            </w:r>
            <w:r>
              <w:rPr>
                <w:sz w:val="18"/>
              </w:rPr>
              <w:t>)</w:t>
            </w:r>
          </w:p>
        </w:tc>
      </w:tr>
      <w:tr>
        <w:tc>
          <w:tcPr>
            <w:tcW w:type="dxa" w:w="3249"/>
          </w:tcPr>
          <w:p>
            <w:pPr>
              <w:spacing w:after="40"/>
            </w:pPr>
            <w:r>
              <w:rPr>
                <w:sz w:val="18"/>
              </w:rPr>
              <w:t>Sesión</w:t>
            </w:r>
          </w:p>
        </w:tc>
        <w:tc>
          <w:tcPr>
            <w:tcW w:type="dxa" w:w="3249"/>
          </w:tcPr>
          <w:p>
            <w:pPr>
              <w:spacing w:after="40"/>
            </w:pPr>
            <w:r>
              <w:rPr>
                <w:sz w:val="18"/>
              </w:rPr>
              <w:t xml:space="preserve">JWT del hub → cookie local </w:t>
            </w:r>
            <w:r>
              <w:rPr>
                <w:rFonts w:ascii="Consolas" w:hAnsi="Consolas" w:eastAsia="Consolas"/>
                <w:color w:val="9F1239"/>
                <w:sz w:val="17"/>
              </w:rPr>
              <w:t>ShippingRequestSystem.Auth</w:t>
            </w:r>
          </w:p>
        </w:tc>
        <w:tc>
          <w:tcPr>
            <w:tcW w:type="dxa" w:w="3249"/>
          </w:tcPr>
          <w:p>
            <w:pPr>
              <w:spacing w:after="40"/>
            </w:pPr>
            <w:r>
              <w:rPr>
                <w:sz w:val="18"/>
              </w:rPr>
              <w:t xml:space="preserve">Cookie </w:t>
            </w:r>
            <w:r>
              <w:rPr>
                <w:rFonts w:ascii="Consolas" w:hAnsi="Consolas" w:eastAsia="Consolas"/>
                <w:color w:val="9F1239"/>
                <w:sz w:val="17"/>
              </w:rPr>
              <w:t>ShippingRequestSystem.Auth</w:t>
            </w:r>
          </w:p>
        </w:tc>
      </w:tr>
      <w:tr>
        <w:tc>
          <w:tcPr>
            <w:tcW w:type="dxa" w:w="3249"/>
            <w:shd w:val="clear" w:color="auto" w:fill="F1F5FB"/>
          </w:tcPr>
          <w:p>
            <w:pPr>
              <w:spacing w:after="40"/>
            </w:pPr>
            <w:r>
              <w:rPr>
                <w:sz w:val="18"/>
              </w:rPr>
              <w:t>Indicador</w:t>
            </w:r>
          </w:p>
        </w:tc>
        <w:tc>
          <w:tcPr>
            <w:tcW w:type="dxa" w:w="3249"/>
            <w:shd w:val="clear" w:color="auto" w:fill="F1F5FB"/>
          </w:tcPr>
          <w:p>
            <w:pPr>
              <w:spacing w:after="40"/>
            </w:pPr>
            <w:r>
              <w:rPr>
                <w:sz w:val="18"/>
              </w:rPr>
              <w:t>—</w:t>
            </w:r>
          </w:p>
        </w:tc>
        <w:tc>
          <w:tcPr>
            <w:tcW w:type="dxa" w:w="3249"/>
            <w:shd w:val="clear" w:color="auto" w:fill="F1F5FB"/>
          </w:tcPr>
          <w:p>
            <w:pPr>
              <w:spacing w:after="40"/>
            </w:pPr>
            <w:r>
              <w:rPr>
                <w:sz w:val="18"/>
              </w:rPr>
              <w:t>Banner "MODO DESARROLLO — login sin Meax One"</w:t>
            </w:r>
          </w:p>
        </w:tc>
      </w:tr>
    </w:tbl>
    <w:p>
      <w:pPr>
        <w:spacing w:after="40"/>
      </w:pPr>
    </w:p>
    <w:p>
      <w:r>
        <w:t xml:space="preserve">En ambos modos el principal tiene </w:t>
      </w:r>
      <w:r>
        <w:rPr>
          <w:b/>
        </w:rPr>
        <w:t>exactamente los mismos claims</w:t>
      </w:r>
      <w:r>
        <w:t>, por lo que el resto de la app no tiene condicionales de modo.</w:t>
      </w:r>
    </w:p>
    <w:p>
      <w:pPr>
        <w:pStyle w:val="Heading2"/>
      </w:pPr>
      <w:r>
        <w:t>6.2 Flujo en producción (SSO)</w:t>
      </w:r>
    </w:p>
    <w:p>
      <w:pPr>
        <w:pStyle w:val="ListNumber"/>
        <w:spacing w:after="40"/>
      </w:pPr>
      <w:r>
        <w:t xml:space="preserve">Request sin sesión → el esquema de autenticación hace </w:t>
      </w:r>
      <w:r>
        <w:rPr>
          <w:i/>
        </w:rPr>
        <w:t>challenge</w:t>
      </w:r>
      <w:r>
        <w:t xml:space="preserve"> y redirige a </w:t>
      </w:r>
      <w:r>
        <w:rPr>
          <w:rFonts w:ascii="Consolas" w:hAnsi="Consolas" w:eastAsia="Consolas"/>
          <w:color w:val="9F1239"/>
          <w:sz w:val="20"/>
        </w:rPr>
        <w:t>{Hub:BaseUrl}/auth/sso?system={Hub:SystemCode}&amp;returnUrl=&lt;URL absoluta con PathBase&gt;</w:t>
      </w:r>
      <w:r>
        <w:t>.</w:t>
      </w:r>
    </w:p>
    <w:p>
      <w:pPr>
        <w:pStyle w:val="ListNumber"/>
        <w:spacing w:after="40"/>
      </w:pPr>
      <w:r>
        <w:t xml:space="preserve">El hub autentica y regresa a </w:t>
      </w:r>
      <w:r>
        <w:rPr>
          <w:rFonts w:ascii="Consolas" w:hAnsi="Consolas" w:eastAsia="Consolas"/>
          <w:color w:val="9F1239"/>
          <w:sz w:val="20"/>
        </w:rPr>
        <w:t>returnUrl?meax_token=&lt;jwt de 5 min&gt;&amp;meax_role=&lt;rol&gt;</w:t>
      </w:r>
      <w:r>
        <w:t>.</w:t>
      </w:r>
    </w:p>
    <w:p>
      <w:pPr>
        <w:pStyle w:val="ListNumber"/>
        <w:spacing w:after="40"/>
      </w:pPr>
      <w:r>
        <w:t xml:space="preserve">El JWT se valida (HS256; emisor </w:t>
      </w:r>
      <w:r>
        <w:rPr>
          <w:rFonts w:ascii="Consolas" w:hAnsi="Consolas" w:eastAsia="Consolas"/>
          <w:color w:val="9F1239"/>
          <w:sz w:val="20"/>
        </w:rPr>
        <w:t>meaxHub</w:t>
      </w:r>
      <w:r>
        <w:t xml:space="preserve">, audiencia </w:t>
      </w:r>
      <w:r>
        <w:rPr>
          <w:rFonts w:ascii="Consolas" w:hAnsi="Consolas" w:eastAsia="Consolas"/>
          <w:color w:val="9F1239"/>
          <w:sz w:val="20"/>
        </w:rPr>
        <w:t>meax-services</w:t>
      </w:r>
      <w:r>
        <w:t xml:space="preserve">, tolerancia de reloj 1 min). El token se lee de la cookie </w:t>
      </w:r>
      <w:r>
        <w:rPr>
          <w:rFonts w:ascii="Consolas" w:hAnsi="Consolas" w:eastAsia="Consolas"/>
          <w:color w:val="9F1239"/>
          <w:sz w:val="20"/>
        </w:rPr>
        <w:t>.MEAX.JWT</w:t>
      </w:r>
      <w:r>
        <w:t xml:space="preserve"> (mismo host) o de </w:t>
      </w:r>
      <w:r>
        <w:rPr>
          <w:rFonts w:ascii="Consolas" w:hAnsi="Consolas" w:eastAsia="Consolas"/>
          <w:color w:val="9F1239"/>
          <w:sz w:val="20"/>
        </w:rPr>
        <w:t>?meax_token=</w:t>
      </w:r>
      <w:r>
        <w:t>.</w:t>
      </w:r>
    </w:p>
    <w:p>
      <w:pPr>
        <w:pStyle w:val="ListNumber"/>
        <w:spacing w:after="40"/>
      </w:pPr>
      <w:r>
        <w:rPr>
          <w:rFonts w:ascii="Consolas" w:hAnsi="Consolas" w:eastAsia="Consolas"/>
          <w:color w:val="9F1239"/>
          <w:sz w:val="20"/>
        </w:rPr>
        <w:t>UseHubSsoTokenBridge</w:t>
      </w:r>
      <w:r>
        <w:t xml:space="preserve"> convierte el token recibido por query en una </w:t>
      </w:r>
      <w:r>
        <w:rPr>
          <w:b/>
        </w:rPr>
        <w:t>cookie local de sesión</w:t>
      </w:r>
      <w:r>
        <w:t xml:space="preserve"> (8 h, deslizante) y redirige a la misma URL sin </w:t>
      </w:r>
      <w:r>
        <w:rPr>
          <w:rFonts w:ascii="Consolas" w:hAnsi="Consolas" w:eastAsia="Consolas"/>
          <w:color w:val="9F1239"/>
          <w:sz w:val="20"/>
        </w:rPr>
        <w:t>meax_token</w:t>
      </w:r>
      <w:r>
        <w:t>/</w:t>
      </w:r>
      <w:r>
        <w:rPr>
          <w:rFonts w:ascii="Consolas" w:hAnsi="Consolas" w:eastAsia="Consolas"/>
          <w:color w:val="9F1239"/>
          <w:sz w:val="20"/>
        </w:rPr>
        <w:t>meax_role</w:t>
      </w:r>
      <w:r>
        <w:t>.</w:t>
      </w:r>
    </w:p>
    <w:p>
      <w:pPr>
        <w:pStyle w:val="ListNumber"/>
        <w:spacing w:after="40"/>
      </w:pPr>
      <w:r>
        <w:rPr>
          <w:b/>
        </w:rPr>
        <w:t>Latido:</w:t>
      </w:r>
      <w:r>
        <w:t xml:space="preserve"> </w:t>
      </w:r>
      <w:r>
        <w:rPr>
          <w:rFonts w:ascii="Consolas" w:hAnsi="Consolas" w:eastAsia="Consolas"/>
          <w:color w:val="9F1239"/>
          <w:sz w:val="20"/>
        </w:rPr>
        <w:t>App.razor</w:t>
      </w:r>
      <w:r>
        <w:t xml:space="preserve"> hace </w:t>
      </w:r>
      <w:r>
        <w:rPr>
          <w:rFonts w:ascii="Consolas" w:hAnsi="Consolas" w:eastAsia="Consolas"/>
          <w:color w:val="9F1239"/>
          <w:sz w:val="20"/>
        </w:rPr>
        <w:t>fetch('{Hub:BaseUrl}/auth/heartbeat', POST, credentials: include)</w:t>
      </w:r>
      <w:r>
        <w:t xml:space="preserve"> cada 12 minutos para mantener viva la cookie </w:t>
      </w:r>
      <w:r>
        <w:rPr>
          <w:rFonts w:ascii="Consolas" w:hAnsi="Consolas" w:eastAsia="Consolas"/>
          <w:color w:val="9F1239"/>
          <w:sz w:val="20"/>
        </w:rPr>
        <w:t>.MEAX.JWT</w:t>
      </w:r>
      <w:r>
        <w:t>; si el hub no responde se ignora silenciosamente.</w:t>
      </w:r>
    </w:p>
    <w:p>
      <w:pPr>
        <w:pStyle w:val="ListNumber"/>
        <w:spacing w:after="40"/>
      </w:pPr>
      <w:r>
        <w:rPr>
          <w:b/>
        </w:rPr>
        <w:t>Logout</w:t>
      </w:r>
      <w:r>
        <w:t xml:space="preserve"> (</w:t>
      </w:r>
      <w:r>
        <w:rPr>
          <w:rFonts w:ascii="Consolas" w:hAnsi="Consolas" w:eastAsia="Consolas"/>
          <w:color w:val="9F1239"/>
          <w:sz w:val="20"/>
        </w:rPr>
        <w:t>/auth/logout</w:t>
      </w:r>
      <w:r>
        <w:t xml:space="preserve">): borra la cookie local y </w:t>
      </w:r>
      <w:r>
        <w:rPr>
          <w:rFonts w:ascii="Consolas" w:hAnsi="Consolas" w:eastAsia="Consolas"/>
          <w:color w:val="9F1239"/>
          <w:sz w:val="20"/>
        </w:rPr>
        <w:t>.MEAX.JWT</w:t>
      </w:r>
      <w:r>
        <w:t>, y regresa a Meax One.</w:t>
      </w:r>
    </w:p>
    <w:p>
      <w:pPr>
        <w:pStyle w:val="Heading2"/>
      </w:pPr>
      <w:r>
        <w:t>6.3 Claims y datos del usuario</w:t>
      </w:r>
    </w:p>
    <w:p>
      <w:r>
        <w:t xml:space="preserve">Claims del JWT: </w:t>
      </w:r>
      <w:r>
        <w:rPr>
          <w:rFonts w:ascii="Consolas" w:hAnsi="Consolas" w:eastAsia="Consolas"/>
          <w:color w:val="9F1239"/>
          <w:sz w:val="20"/>
        </w:rPr>
        <w:t>sub</w:t>
      </w:r>
      <w:r>
        <w:t>/</w:t>
      </w:r>
      <w:r>
        <w:rPr>
          <w:rFonts w:ascii="Consolas" w:hAnsi="Consolas" w:eastAsia="Consolas"/>
          <w:color w:val="9F1239"/>
          <w:sz w:val="20"/>
        </w:rPr>
        <w:t>PcLoginId</w:t>
      </w:r>
      <w:r>
        <w:t xml:space="preserve">, </w:t>
      </w:r>
      <w:r>
        <w:rPr>
          <w:rFonts w:ascii="Consolas" w:hAnsi="Consolas" w:eastAsia="Consolas"/>
          <w:color w:val="9F1239"/>
          <w:sz w:val="20"/>
        </w:rPr>
        <w:t>DisplayName</w:t>
      </w:r>
      <w:r>
        <w:t xml:space="preserve">, </w:t>
      </w:r>
      <w:r>
        <w:rPr>
          <w:rFonts w:ascii="Consolas" w:hAnsi="Consolas" w:eastAsia="Consolas"/>
          <w:color w:val="9F1239"/>
          <w:sz w:val="20"/>
        </w:rPr>
        <w:t>Department</w:t>
      </w:r>
      <w:r>
        <w:t xml:space="preserve">, </w:t>
      </w:r>
      <w:r>
        <w:rPr>
          <w:rFonts w:ascii="Consolas" w:hAnsi="Consolas" w:eastAsia="Consolas"/>
          <w:color w:val="9F1239"/>
          <w:sz w:val="20"/>
        </w:rPr>
        <w:t>Position</w:t>
      </w:r>
      <w:r>
        <w:t xml:space="preserve">, </w:t>
      </w:r>
      <w:r>
        <w:rPr>
          <w:rFonts w:ascii="Consolas" w:hAnsi="Consolas" w:eastAsia="Consolas"/>
          <w:color w:val="9F1239"/>
          <w:sz w:val="20"/>
        </w:rPr>
        <w:t>EmployeeId</w:t>
      </w:r>
      <w:r>
        <w:t xml:space="preserve"> (nómina, puede venir vacío), </w:t>
      </w:r>
      <w:r>
        <w:rPr>
          <w:rFonts w:ascii="Consolas" w:hAnsi="Consolas" w:eastAsia="Consolas"/>
          <w:color w:val="9F1239"/>
          <w:sz w:val="20"/>
        </w:rPr>
        <w:t>SystemRole</w:t>
      </w:r>
      <w:r>
        <w:t xml:space="preserve"> (solo en tokens SSO), </w:t>
      </w:r>
      <w:r>
        <w:rPr>
          <w:rFonts w:ascii="Consolas" w:hAnsi="Consolas" w:eastAsia="Consolas"/>
          <w:color w:val="9F1239"/>
          <w:sz w:val="20"/>
        </w:rPr>
        <w:t>jti</w:t>
      </w:r>
      <w:r>
        <w:t>.</w:t>
      </w:r>
    </w:p>
    <w:p>
      <w:r>
        <w:rPr>
          <w:rFonts w:ascii="Consolas" w:hAnsi="Consolas" w:eastAsia="Consolas"/>
          <w:color w:val="9F1239"/>
          <w:sz w:val="20"/>
        </w:rPr>
        <w:t>CurrentUserService</w:t>
      </w:r>
      <w:r>
        <w:t xml:space="preserve"> los expone (</w:t>
      </w:r>
      <w:r>
        <w:rPr>
          <w:rFonts w:ascii="Consolas" w:hAnsi="Consolas" w:eastAsia="Consolas"/>
          <w:color w:val="9F1239"/>
          <w:sz w:val="20"/>
        </w:rPr>
        <w:t>Username</w:t>
      </w:r>
      <w:r>
        <w:t xml:space="preserve"> = PcLoginId, </w:t>
      </w:r>
      <w:r>
        <w:rPr>
          <w:rFonts w:ascii="Consolas" w:hAnsi="Consolas" w:eastAsia="Consolas"/>
          <w:color w:val="9F1239"/>
          <w:sz w:val="20"/>
        </w:rPr>
        <w:t>DisplayName</w:t>
      </w:r>
      <w:r>
        <w:t xml:space="preserve">, </w:t>
      </w:r>
      <w:r>
        <w:rPr>
          <w:rFonts w:ascii="Consolas" w:hAnsi="Consolas" w:eastAsia="Consolas"/>
          <w:color w:val="9F1239"/>
          <w:sz w:val="20"/>
        </w:rPr>
        <w:t>Department</w:t>
      </w:r>
      <w:r>
        <w:t xml:space="preserve">, </w:t>
      </w:r>
      <w:r>
        <w:rPr>
          <w:rFonts w:ascii="Consolas" w:hAnsi="Consolas" w:eastAsia="Consolas"/>
          <w:color w:val="9F1239"/>
          <w:sz w:val="20"/>
        </w:rPr>
        <w:t>Position</w:t>
      </w:r>
      <w:r>
        <w:t xml:space="preserve">, </w:t>
      </w:r>
      <w:r>
        <w:rPr>
          <w:rFonts w:ascii="Consolas" w:hAnsi="Consolas" w:eastAsia="Consolas"/>
          <w:color w:val="9F1239"/>
          <w:sz w:val="20"/>
        </w:rPr>
        <w:t>EmployeeId</w:t>
      </w:r>
      <w:r>
        <w:t xml:space="preserve">, </w:t>
      </w:r>
      <w:r>
        <w:rPr>
          <w:rFonts w:ascii="Consolas" w:hAnsi="Consolas" w:eastAsia="Consolas"/>
          <w:color w:val="9F1239"/>
          <w:sz w:val="20"/>
        </w:rPr>
        <w:t>SystemRole</w:t>
      </w:r>
      <w:r>
        <w:t xml:space="preserve">). </w:t>
      </w:r>
      <w:r>
        <w:rPr>
          <w:b/>
        </w:rPr>
        <w:t>El JWT no trae email</w:t>
      </w:r>
      <w:r>
        <w:t xml:space="preserve">: </w:t>
      </w:r>
      <w:r>
        <w:rPr>
          <w:rFonts w:ascii="Consolas" w:hAnsi="Consolas" w:eastAsia="Consolas"/>
          <w:color w:val="9F1239"/>
          <w:sz w:val="20"/>
        </w:rPr>
        <w:t>Email</w:t>
      </w:r>
      <w:r>
        <w:t xml:space="preserve"> se resuelve una vez contra </w:t>
      </w:r>
      <w:r>
        <w:rPr>
          <w:rFonts w:ascii="Consolas" w:hAnsi="Consolas" w:eastAsia="Consolas"/>
          <w:color w:val="9F1239"/>
          <w:sz w:val="20"/>
        </w:rPr>
        <w:t>meax_all_user</w:t>
      </w:r>
      <w:r>
        <w:t xml:space="preserve"> por el </w:t>
      </w:r>
      <w:r>
        <w:rPr>
          <w:rFonts w:ascii="Consolas" w:hAnsi="Consolas" w:eastAsia="Consolas"/>
          <w:color w:val="9F1239"/>
          <w:sz w:val="20"/>
        </w:rPr>
        <w:t>PcLoginId</w:t>
      </w:r>
      <w:r>
        <w:t xml:space="preserve">, porque todo el sistema de aprobaciones compara por email. La propiedad síncrona </w:t>
      </w:r>
      <w:r>
        <w:rPr>
          <w:rFonts w:ascii="Consolas" w:hAnsi="Consolas" w:eastAsia="Consolas"/>
          <w:color w:val="9F1239"/>
          <w:sz w:val="20"/>
        </w:rPr>
        <w:t>Email</w:t>
      </w:r>
      <w:r>
        <w:t xml:space="preserve"> usa </w:t>
      </w:r>
      <w:r>
        <w:rPr>
          <w:rFonts w:ascii="Consolas" w:hAnsi="Consolas" w:eastAsia="Consolas"/>
          <w:color w:val="9F1239"/>
          <w:sz w:val="20"/>
        </w:rPr>
        <w:t>Task.Run(...)</w:t>
      </w:r>
      <w:r>
        <w:t xml:space="preserve"> para evitar un </w:t>
      </w:r>
      <w:r>
        <w:rPr>
          <w:i/>
        </w:rPr>
        <w:t>deadlock</w:t>
      </w:r>
      <w:r>
        <w:t xml:space="preserve"> de Blazor (ver sección 13).</w:t>
      </w:r>
    </w:p>
    <w:p>
      <w:pPr>
        <w:pStyle w:val="Heading2"/>
      </w:pPr>
      <w:r>
        <w:t>6.4 Roles y permisos</w:t>
      </w:r>
    </w:p>
    <w:p>
      <w:pPr>
        <w:pStyle w:val="ListBullet"/>
        <w:spacing w:after="40"/>
      </w:pPr>
      <w:r>
        <w:rPr>
          <w:b/>
        </w:rPr>
        <w:t>Roles de aprobación</w:t>
      </w:r>
      <w:r>
        <w:t xml:space="preserve"> (Trade Staff, Trade Coordinator, Trade Manager, Procurement Manager, Sales Manager, Finance Manager, President): se asignan por persona en </w:t>
      </w:r>
      <w:r>
        <w:rPr>
          <w:rFonts w:ascii="Consolas" w:hAnsi="Consolas" w:eastAsia="Consolas"/>
          <w:color w:val="9F1239"/>
          <w:sz w:val="20"/>
        </w:rPr>
        <w:t>/admin/permissions</w:t>
      </w:r>
      <w:r>
        <w:t xml:space="preserve"> (tabla </w:t>
      </w:r>
      <w:r>
        <w:rPr>
          <w:rFonts w:ascii="Consolas" w:hAnsi="Consolas" w:eastAsia="Consolas"/>
          <w:color w:val="9F1239"/>
          <w:sz w:val="20"/>
        </w:rPr>
        <w:t>ApprovalRolePermission</w:t>
      </w:r>
      <w:r>
        <w:t xml:space="preserve">). </w:t>
      </w:r>
      <w:r>
        <w:rPr>
          <w:i/>
        </w:rPr>
        <w:t>User Manager</w:t>
      </w:r>
      <w:r>
        <w:t xml:space="preserve"> es por solicitud.</w:t>
      </w:r>
    </w:p>
    <w:p>
      <w:pPr>
        <w:pStyle w:val="ListBullet"/>
        <w:spacing w:after="40"/>
      </w:pPr>
      <w:r>
        <w:rPr>
          <w:b/>
        </w:rPr>
        <w:t>Administrador:</w:t>
      </w:r>
      <w:r>
        <w:t xml:space="preserve"> pertenece a la tabla </w:t>
      </w:r>
      <w:r>
        <w:rPr>
          <w:rFonts w:ascii="Consolas" w:hAnsi="Consolas" w:eastAsia="Consolas"/>
          <w:color w:val="9F1239"/>
          <w:sz w:val="20"/>
        </w:rPr>
        <w:t>SystemAdmin</w:t>
      </w:r>
      <w:r>
        <w:t xml:space="preserve"> (</w:t>
      </w:r>
      <w:r>
        <w:rPr>
          <w:rFonts w:ascii="Consolas" w:hAnsi="Consolas" w:eastAsia="Consolas"/>
          <w:color w:val="9F1239"/>
          <w:sz w:val="20"/>
        </w:rPr>
        <w:t>/admin/admins</w:t>
      </w:r>
      <w:r>
        <w:t xml:space="preserve">); controla el acceso a </w:t>
      </w:r>
      <w:r>
        <w:rPr>
          <w:rFonts w:ascii="Consolas" w:hAnsi="Consolas" w:eastAsia="Consolas"/>
          <w:color w:val="9F1239"/>
          <w:sz w:val="20"/>
        </w:rPr>
        <w:t>/admin/*</w:t>
      </w:r>
      <w:r>
        <w:t xml:space="preserve"> y a la sección Administración del menú.</w:t>
      </w:r>
    </w:p>
    <w:p>
      <w:pPr>
        <w:pStyle w:val="ListBullet"/>
        <w:spacing w:after="40"/>
      </w:pPr>
      <w:r>
        <w:rPr>
          <w:rFonts w:ascii="Consolas" w:hAnsi="Consolas" w:eastAsia="Consolas"/>
          <w:color w:val="9F1239"/>
          <w:sz w:val="20"/>
        </w:rPr>
        <w:t>SystemRole</w:t>
      </w:r>
      <w:r>
        <w:t xml:space="preserve"> (claim del hub) se expone pero </w:t>
      </w:r>
      <w:r>
        <w:rPr>
          <w:b/>
        </w:rPr>
        <w:t>no</w:t>
      </w:r>
      <w:r>
        <w:t xml:space="preserve"> se usa hoy para autorizar nada en la app.</w:t>
      </w:r>
    </w:p>
    <w:p>
      <w:pPr>
        <w:pStyle w:val="Heading2"/>
      </w:pPr>
      <w:r>
        <w:t>6.5 Autorización global</w:t>
      </w:r>
    </w:p>
    <w:p>
      <w:r>
        <w:rPr>
          <w:rFonts w:ascii="Consolas" w:hAnsi="Consolas" w:eastAsia="Consolas"/>
          <w:color w:val="9F1239"/>
          <w:sz w:val="20"/>
        </w:rPr>
        <w:t>RequireAuthMiddleware</w:t>
      </w:r>
      <w:r>
        <w:t xml:space="preserve"> exige sesión en toda la app y dispara el </w:t>
      </w:r>
      <w:r>
        <w:rPr>
          <w:i/>
        </w:rPr>
        <w:t>challenge</w:t>
      </w:r>
      <w:r>
        <w:t xml:space="preserve"> del esquema activo. Quedan públicos: </w:t>
      </w:r>
      <w:r>
        <w:rPr>
          <w:rFonts w:ascii="Consolas" w:hAnsi="Consolas" w:eastAsia="Consolas"/>
          <w:color w:val="9F1239"/>
          <w:sz w:val="20"/>
        </w:rPr>
        <w:t>/_framework</w:t>
      </w:r>
      <w:r>
        <w:t xml:space="preserve">, </w:t>
      </w:r>
      <w:r>
        <w:rPr>
          <w:rFonts w:ascii="Consolas" w:hAnsi="Consolas" w:eastAsia="Consolas"/>
          <w:color w:val="9F1239"/>
          <w:sz w:val="20"/>
        </w:rPr>
        <w:t>/_blazor</w:t>
      </w:r>
      <w:r>
        <w:t xml:space="preserve">, </w:t>
      </w:r>
      <w:r>
        <w:rPr>
          <w:rFonts w:ascii="Consolas" w:hAnsi="Consolas" w:eastAsia="Consolas"/>
          <w:color w:val="9F1239"/>
          <w:sz w:val="20"/>
        </w:rPr>
        <w:t>/login</w:t>
      </w:r>
      <w:r>
        <w:t xml:space="preserve">, </w:t>
      </w:r>
      <w:r>
        <w:rPr>
          <w:rFonts w:ascii="Consolas" w:hAnsi="Consolas" w:eastAsia="Consolas"/>
          <w:color w:val="9F1239"/>
          <w:sz w:val="20"/>
        </w:rPr>
        <w:t>/auth</w:t>
      </w:r>
      <w:r>
        <w:t xml:space="preserve">, </w:t>
      </w:r>
      <w:r>
        <w:rPr>
          <w:rFonts w:ascii="Consolas" w:hAnsi="Consolas" w:eastAsia="Consolas"/>
          <w:color w:val="9F1239"/>
          <w:sz w:val="20"/>
        </w:rPr>
        <w:t>/css</w:t>
      </w:r>
      <w:r>
        <w:t xml:space="preserve">, </w:t>
      </w:r>
      <w:r>
        <w:rPr>
          <w:rFonts w:ascii="Consolas" w:hAnsi="Consolas" w:eastAsia="Consolas"/>
          <w:color w:val="9F1239"/>
          <w:sz w:val="20"/>
        </w:rPr>
        <w:t>/js</w:t>
      </w:r>
      <w:r>
        <w:t xml:space="preserve">, </w:t>
      </w:r>
      <w:r>
        <w:rPr>
          <w:rFonts w:ascii="Consolas" w:hAnsi="Consolas" w:eastAsia="Consolas"/>
          <w:color w:val="9F1239"/>
          <w:sz w:val="20"/>
        </w:rPr>
        <w:t>/favicon</w:t>
      </w:r>
      <w:r>
        <w:t xml:space="preserve"> y cualquier endpoint con </w:t>
      </w:r>
      <w:r>
        <w:rPr>
          <w:rFonts w:ascii="Consolas" w:hAnsi="Consolas" w:eastAsia="Consolas"/>
          <w:color w:val="9F1239"/>
          <w:sz w:val="20"/>
        </w:rPr>
        <w:t>[AllowAnonymous]</w:t>
      </w:r>
      <w:r>
        <w:t xml:space="preserve">. </w:t>
      </w:r>
      <w:r>
        <w:rPr>
          <w:b/>
        </w:rPr>
        <w:t>No</w:t>
      </w:r>
      <w:r>
        <w:t xml:space="preserve"> se usa </w:t>
      </w:r>
      <w:r>
        <w:rPr>
          <w:rFonts w:ascii="Consolas" w:hAnsi="Consolas" w:eastAsia="Consolas"/>
          <w:color w:val="9F1239"/>
          <w:sz w:val="20"/>
        </w:rPr>
        <w:t>RequireAuthorization()</w:t>
      </w:r>
      <w:r>
        <w:t xml:space="preserve">/política de fallback sobre </w:t>
      </w:r>
      <w:r>
        <w:rPr>
          <w:rFonts w:ascii="Consolas" w:hAnsi="Consolas" w:eastAsia="Consolas"/>
          <w:color w:val="9F1239"/>
          <w:sz w:val="20"/>
        </w:rPr>
        <w:t>MapRazorComponents</w:t>
      </w:r>
      <w:r>
        <w:t xml:space="preserve">, porque eso también protege </w:t>
      </w:r>
      <w:r>
        <w:rPr>
          <w:rFonts w:ascii="Consolas" w:hAnsi="Consolas" w:eastAsia="Consolas"/>
          <w:color w:val="9F1239"/>
          <w:sz w:val="20"/>
        </w:rPr>
        <w:t>_framework/blazor.web.js</w:t>
      </w:r>
      <w:r>
        <w:t xml:space="preserve"> y deja la app colgada antes de poder autenticar.</w:t>
      </w:r>
    </w:p>
    <w:p>
      <w:pPr>
        <w:pStyle w:val="Heading1"/>
      </w:pPr>
      <w:r>
        <w:t>7. Páginas y rutas</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3249"/>
        <w:gridCol w:w="3249"/>
        <w:gridCol w:w="3249"/>
      </w:tblGrid>
      <w:tr>
        <w:trPr>
          <w:tblHeader w:val="true"/>
        </w:trPr>
        <w:tc>
          <w:tcPr>
            <w:tcW w:type="dxa" w:w="3249"/>
            <w:shd w:val="clear" w:color="auto" w:fill="1E3A8A"/>
          </w:tcPr>
          <w:p>
            <w:pPr>
              <w:spacing w:after="40"/>
            </w:pPr>
            <w:r>
              <w:rPr>
                <w:b/>
                <w:color w:val="FFFFFF"/>
                <w:sz w:val="18"/>
              </w:rPr>
              <w:t>Ruta</w:t>
            </w:r>
          </w:p>
        </w:tc>
        <w:tc>
          <w:tcPr>
            <w:tcW w:type="dxa" w:w="3249"/>
            <w:shd w:val="clear" w:color="auto" w:fill="1E3A8A"/>
          </w:tcPr>
          <w:p>
            <w:pPr>
              <w:spacing w:after="40"/>
            </w:pPr>
            <w:r>
              <w:rPr>
                <w:b/>
                <w:color w:val="FFFFFF"/>
                <w:sz w:val="18"/>
              </w:rPr>
              <w:t>Página</w:t>
            </w:r>
          </w:p>
        </w:tc>
        <w:tc>
          <w:tcPr>
            <w:tcW w:type="dxa" w:w="3249"/>
            <w:shd w:val="clear" w:color="auto" w:fill="1E3A8A"/>
          </w:tcPr>
          <w:p>
            <w:pPr>
              <w:spacing w:after="40"/>
            </w:pPr>
            <w:r>
              <w:rPr>
                <w:b/>
                <w:color w:val="FFFFFF"/>
                <w:sz w:val="18"/>
              </w:rPr>
              <w:t>Quién la usa</w:t>
            </w:r>
          </w:p>
        </w:tc>
      </w:tr>
      <w:tr>
        <w:tc>
          <w:tcPr>
            <w:tcW w:type="dxa" w:w="3249"/>
          </w:tcPr>
          <w:p>
            <w:pPr>
              <w:spacing w:after="40"/>
            </w:pPr>
            <w:r>
              <w:rPr>
                <w:rFonts w:ascii="Consolas" w:hAnsi="Consolas" w:eastAsia="Consolas"/>
                <w:color w:val="9F1239"/>
                <w:sz w:val="17"/>
              </w:rPr>
              <w:t>/</w:t>
            </w:r>
          </w:p>
        </w:tc>
        <w:tc>
          <w:tcPr>
            <w:tcW w:type="dxa" w:w="3249"/>
          </w:tcPr>
          <w:p>
            <w:pPr>
              <w:spacing w:after="40"/>
            </w:pPr>
            <w:r>
              <w:rPr>
                <w:rFonts w:ascii="Consolas" w:hAnsi="Consolas" w:eastAsia="Consolas"/>
                <w:color w:val="9F1239"/>
                <w:sz w:val="17"/>
              </w:rPr>
              <w:t>Home</w:t>
            </w:r>
          </w:p>
        </w:tc>
        <w:tc>
          <w:tcPr>
            <w:tcW w:type="dxa" w:w="3249"/>
          </w:tcPr>
          <w:p>
            <w:pPr>
              <w:spacing w:after="40"/>
            </w:pPr>
            <w:r>
              <w:rPr>
                <w:sz w:val="18"/>
              </w:rPr>
              <w:t>Todos (dashboard, solicitudes recientes)</w:t>
            </w:r>
          </w:p>
        </w:tc>
      </w:tr>
      <w:tr>
        <w:tc>
          <w:tcPr>
            <w:tcW w:type="dxa" w:w="3249"/>
            <w:shd w:val="clear" w:color="auto" w:fill="F1F5FB"/>
          </w:tcPr>
          <w:p>
            <w:pPr>
              <w:spacing w:after="40"/>
            </w:pPr>
            <w:r>
              <w:rPr>
                <w:rFonts w:ascii="Consolas" w:hAnsi="Consolas" w:eastAsia="Consolas"/>
                <w:color w:val="9F1239"/>
                <w:sz w:val="17"/>
              </w:rPr>
              <w:t>/requests</w:t>
            </w:r>
          </w:p>
        </w:tc>
        <w:tc>
          <w:tcPr>
            <w:tcW w:type="dxa" w:w="3249"/>
            <w:shd w:val="clear" w:color="auto" w:fill="F1F5FB"/>
          </w:tcPr>
          <w:p>
            <w:pPr>
              <w:spacing w:after="40"/>
            </w:pPr>
            <w:r>
              <w:rPr>
                <w:rFonts w:ascii="Consolas" w:hAnsi="Consolas" w:eastAsia="Consolas"/>
                <w:color w:val="9F1239"/>
                <w:sz w:val="17"/>
              </w:rPr>
              <w:t>RequestList</w:t>
            </w:r>
          </w:p>
        </w:tc>
        <w:tc>
          <w:tcPr>
            <w:tcW w:type="dxa" w:w="3249"/>
            <w:shd w:val="clear" w:color="auto" w:fill="F1F5FB"/>
          </w:tcPr>
          <w:p>
            <w:pPr>
              <w:spacing w:after="40"/>
            </w:pPr>
            <w:r>
              <w:rPr>
                <w:sz w:val="18"/>
              </w:rPr>
              <w:t>Todos</w:t>
            </w:r>
          </w:p>
        </w:tc>
      </w:tr>
      <w:tr>
        <w:tc>
          <w:tcPr>
            <w:tcW w:type="dxa" w:w="3249"/>
          </w:tcPr>
          <w:p>
            <w:pPr>
              <w:spacing w:after="40"/>
            </w:pPr>
            <w:r>
              <w:rPr>
                <w:rFonts w:ascii="Consolas" w:hAnsi="Consolas" w:eastAsia="Consolas"/>
                <w:color w:val="9F1239"/>
                <w:sz w:val="17"/>
              </w:rPr>
              <w:t>/requests/new</w:t>
            </w:r>
          </w:p>
        </w:tc>
        <w:tc>
          <w:tcPr>
            <w:tcW w:type="dxa" w:w="3249"/>
          </w:tcPr>
          <w:p>
            <w:pPr>
              <w:spacing w:after="40"/>
            </w:pPr>
            <w:r>
              <w:rPr>
                <w:rFonts w:ascii="Consolas" w:hAnsi="Consolas" w:eastAsia="Consolas"/>
                <w:color w:val="9F1239"/>
                <w:sz w:val="17"/>
              </w:rPr>
              <w:t>NewRequest</w:t>
            </w:r>
          </w:p>
        </w:tc>
        <w:tc>
          <w:tcPr>
            <w:tcW w:type="dxa" w:w="3249"/>
          </w:tcPr>
          <w:p>
            <w:pPr>
              <w:spacing w:after="40"/>
            </w:pPr>
            <w:r>
              <w:rPr>
                <w:sz w:val="18"/>
              </w:rPr>
              <w:t>Solicitante (wizard de 6 pasos)</w:t>
            </w:r>
          </w:p>
        </w:tc>
      </w:tr>
      <w:tr>
        <w:tc>
          <w:tcPr>
            <w:tcW w:type="dxa" w:w="3249"/>
            <w:shd w:val="clear" w:color="auto" w:fill="F1F5FB"/>
          </w:tcPr>
          <w:p>
            <w:pPr>
              <w:spacing w:after="40"/>
            </w:pPr>
            <w:r>
              <w:rPr>
                <w:rFonts w:ascii="Consolas" w:hAnsi="Consolas" w:eastAsia="Consolas"/>
                <w:color w:val="9F1239"/>
                <w:sz w:val="17"/>
              </w:rPr>
              <w:t>/requests/{id}</w:t>
            </w:r>
          </w:p>
        </w:tc>
        <w:tc>
          <w:tcPr>
            <w:tcW w:type="dxa" w:w="3249"/>
            <w:shd w:val="clear" w:color="auto" w:fill="F1F5FB"/>
          </w:tcPr>
          <w:p>
            <w:pPr>
              <w:spacing w:after="40"/>
            </w:pPr>
            <w:r>
              <w:rPr>
                <w:rFonts w:ascii="Consolas" w:hAnsi="Consolas" w:eastAsia="Consolas"/>
                <w:color w:val="9F1239"/>
                <w:sz w:val="17"/>
              </w:rPr>
              <w:t>RequestDetail</w:t>
            </w:r>
          </w:p>
        </w:tc>
        <w:tc>
          <w:tcPr>
            <w:tcW w:type="dxa" w:w="3249"/>
            <w:shd w:val="clear" w:color="auto" w:fill="F1F5FB"/>
          </w:tcPr>
          <w:p>
            <w:pPr>
              <w:spacing w:after="40"/>
            </w:pPr>
            <w:r>
              <w:rPr>
                <w:sz w:val="18"/>
              </w:rPr>
              <w:t>Todos; muestra acciones según estado y rol</w:t>
            </w:r>
          </w:p>
        </w:tc>
      </w:tr>
      <w:tr>
        <w:tc>
          <w:tcPr>
            <w:tcW w:type="dxa" w:w="3249"/>
          </w:tcPr>
          <w:p>
            <w:pPr>
              <w:spacing w:after="40"/>
            </w:pPr>
            <w:r>
              <w:rPr>
                <w:rFonts w:ascii="Consolas" w:hAnsi="Consolas" w:eastAsia="Consolas"/>
                <w:color w:val="9F1239"/>
                <w:sz w:val="17"/>
              </w:rPr>
              <w:t>/requests/{id}/staff-review</w:t>
            </w:r>
          </w:p>
        </w:tc>
        <w:tc>
          <w:tcPr>
            <w:tcW w:type="dxa" w:w="3249"/>
          </w:tcPr>
          <w:p>
            <w:pPr>
              <w:spacing w:after="40"/>
            </w:pPr>
            <w:r>
              <w:rPr>
                <w:rFonts w:ascii="Consolas" w:hAnsi="Consolas" w:eastAsia="Consolas"/>
                <w:color w:val="9F1239"/>
                <w:sz w:val="17"/>
              </w:rPr>
              <w:t>TradeStaffReview</w:t>
            </w:r>
          </w:p>
        </w:tc>
        <w:tc>
          <w:tcPr>
            <w:tcW w:type="dxa" w:w="3249"/>
          </w:tcPr>
          <w:p>
            <w:pPr>
              <w:spacing w:after="40"/>
            </w:pPr>
            <w:r>
              <w:rPr>
                <w:sz w:val="18"/>
              </w:rPr>
              <w:t>Trade Staff</w:t>
            </w:r>
          </w:p>
        </w:tc>
      </w:tr>
      <w:tr>
        <w:tc>
          <w:tcPr>
            <w:tcW w:type="dxa" w:w="3249"/>
            <w:shd w:val="clear" w:color="auto" w:fill="F1F5FB"/>
          </w:tcPr>
          <w:p>
            <w:pPr>
              <w:spacing w:after="40"/>
            </w:pPr>
            <w:r>
              <w:rPr>
                <w:rFonts w:ascii="Consolas" w:hAnsi="Consolas" w:eastAsia="Consolas"/>
                <w:color w:val="9F1239"/>
                <w:sz w:val="17"/>
              </w:rPr>
              <w:t>/requests/{id}/select-quote</w:t>
            </w:r>
          </w:p>
        </w:tc>
        <w:tc>
          <w:tcPr>
            <w:tcW w:type="dxa" w:w="3249"/>
            <w:shd w:val="clear" w:color="auto" w:fill="F1F5FB"/>
          </w:tcPr>
          <w:p>
            <w:pPr>
              <w:spacing w:after="40"/>
            </w:pPr>
            <w:r>
              <w:rPr>
                <w:rFonts w:ascii="Consolas" w:hAnsi="Consolas" w:eastAsia="Consolas"/>
                <w:color w:val="9F1239"/>
                <w:sz w:val="17"/>
              </w:rPr>
              <w:t>SelectQuote</w:t>
            </w:r>
          </w:p>
        </w:tc>
        <w:tc>
          <w:tcPr>
            <w:tcW w:type="dxa" w:w="3249"/>
            <w:shd w:val="clear" w:color="auto" w:fill="F1F5FB"/>
          </w:tcPr>
          <w:p>
            <w:pPr>
              <w:spacing w:after="40"/>
            </w:pPr>
            <w:r>
              <w:rPr>
                <w:sz w:val="18"/>
              </w:rPr>
              <w:t>Solicitante</w:t>
            </w:r>
          </w:p>
        </w:tc>
      </w:tr>
      <w:tr>
        <w:tc>
          <w:tcPr>
            <w:tcW w:type="dxa" w:w="3249"/>
          </w:tcPr>
          <w:p>
            <w:pPr>
              <w:spacing w:after="40"/>
            </w:pPr>
            <w:r>
              <w:rPr>
                <w:rFonts w:ascii="Consolas" w:hAnsi="Consolas" w:eastAsia="Consolas"/>
                <w:color w:val="9F1239"/>
                <w:sz w:val="17"/>
              </w:rPr>
              <w:t>/requests/{id}/premium-freight</w:t>
            </w:r>
          </w:p>
        </w:tc>
        <w:tc>
          <w:tcPr>
            <w:tcW w:type="dxa" w:w="3249"/>
          </w:tcPr>
          <w:p>
            <w:pPr>
              <w:spacing w:after="40"/>
            </w:pPr>
            <w:r>
              <w:rPr>
                <w:rFonts w:ascii="Consolas" w:hAnsi="Consolas" w:eastAsia="Consolas"/>
                <w:color w:val="9F1239"/>
                <w:sz w:val="17"/>
              </w:rPr>
              <w:t>PremiumFreightForm</w:t>
            </w:r>
          </w:p>
        </w:tc>
        <w:tc>
          <w:tcPr>
            <w:tcW w:type="dxa" w:w="3249"/>
          </w:tcPr>
          <w:p>
            <w:pPr>
              <w:spacing w:after="40"/>
            </w:pPr>
            <w:r>
              <w:rPr>
                <w:sz w:val="18"/>
              </w:rPr>
              <w:t>Solicitante</w:t>
            </w:r>
          </w:p>
        </w:tc>
      </w:tr>
      <w:tr>
        <w:tc>
          <w:tcPr>
            <w:tcW w:type="dxa" w:w="3249"/>
            <w:shd w:val="clear" w:color="auto" w:fill="F1F5FB"/>
          </w:tcPr>
          <w:p>
            <w:pPr>
              <w:spacing w:after="40"/>
            </w:pPr>
            <w:r>
              <w:rPr>
                <w:rFonts w:ascii="Consolas" w:hAnsi="Consolas" w:eastAsia="Consolas"/>
                <w:color w:val="9F1239"/>
                <w:sz w:val="17"/>
              </w:rPr>
              <w:t>/approvals</w:t>
            </w:r>
          </w:p>
        </w:tc>
        <w:tc>
          <w:tcPr>
            <w:tcW w:type="dxa" w:w="3249"/>
            <w:shd w:val="clear" w:color="auto" w:fill="F1F5FB"/>
          </w:tcPr>
          <w:p>
            <w:pPr>
              <w:spacing w:after="40"/>
            </w:pPr>
            <w:r>
              <w:rPr>
                <w:rFonts w:ascii="Consolas" w:hAnsi="Consolas" w:eastAsia="Consolas"/>
                <w:color w:val="9F1239"/>
                <w:sz w:val="17"/>
              </w:rPr>
              <w:t>Approvals</w:t>
            </w:r>
          </w:p>
        </w:tc>
        <w:tc>
          <w:tcPr>
            <w:tcW w:type="dxa" w:w="3249"/>
            <w:shd w:val="clear" w:color="auto" w:fill="F1F5FB"/>
          </w:tcPr>
          <w:p>
            <w:pPr>
              <w:spacing w:after="40"/>
            </w:pPr>
            <w:r>
              <w:rPr>
                <w:sz w:val="18"/>
              </w:rPr>
              <w:t>Aprobadores</w:t>
            </w:r>
          </w:p>
        </w:tc>
      </w:tr>
      <w:tr>
        <w:tc>
          <w:tcPr>
            <w:tcW w:type="dxa" w:w="3249"/>
          </w:tcPr>
          <w:p>
            <w:pPr>
              <w:spacing w:after="40"/>
            </w:pPr>
            <w:r>
              <w:rPr>
                <w:rFonts w:ascii="Consolas" w:hAnsi="Consolas" w:eastAsia="Consolas"/>
                <w:color w:val="9F1239"/>
                <w:sz w:val="17"/>
              </w:rPr>
              <w:t>/admin</w:t>
            </w:r>
          </w:p>
        </w:tc>
        <w:tc>
          <w:tcPr>
            <w:tcW w:type="dxa" w:w="3249"/>
          </w:tcPr>
          <w:p>
            <w:pPr>
              <w:spacing w:after="40"/>
            </w:pPr>
            <w:r>
              <w:rPr>
                <w:rFonts w:ascii="Consolas" w:hAnsi="Consolas" w:eastAsia="Consolas"/>
                <w:color w:val="9F1239"/>
                <w:sz w:val="17"/>
              </w:rPr>
              <w:t>AdminPanel</w:t>
            </w:r>
          </w:p>
        </w:tc>
        <w:tc>
          <w:tcPr>
            <w:tcW w:type="dxa" w:w="3249"/>
          </w:tcPr>
          <w:p>
            <w:pPr>
              <w:spacing w:after="40"/>
            </w:pPr>
            <w:r>
              <w:rPr>
                <w:sz w:val="18"/>
              </w:rPr>
              <w:t>Administradores</w:t>
            </w:r>
          </w:p>
        </w:tc>
      </w:tr>
      <w:tr>
        <w:tc>
          <w:tcPr>
            <w:tcW w:type="dxa" w:w="3249"/>
            <w:shd w:val="clear" w:color="auto" w:fill="F1F5FB"/>
          </w:tcPr>
          <w:p>
            <w:pPr>
              <w:spacing w:after="40"/>
            </w:pPr>
            <w:r>
              <w:rPr>
                <w:rFonts w:ascii="Consolas" w:hAnsi="Consolas" w:eastAsia="Consolas"/>
                <w:color w:val="9F1239"/>
                <w:sz w:val="17"/>
              </w:rPr>
              <w:t>/admin/permissions</w:t>
            </w:r>
          </w:p>
        </w:tc>
        <w:tc>
          <w:tcPr>
            <w:tcW w:type="dxa" w:w="3249"/>
            <w:shd w:val="clear" w:color="auto" w:fill="F1F5FB"/>
          </w:tcPr>
          <w:p>
            <w:pPr>
              <w:spacing w:after="40"/>
            </w:pPr>
            <w:r>
              <w:rPr>
                <w:rFonts w:ascii="Consolas" w:hAnsi="Consolas" w:eastAsia="Consolas"/>
                <w:color w:val="9F1239"/>
                <w:sz w:val="17"/>
              </w:rPr>
              <w:t>PermissionsPanel</w:t>
            </w:r>
          </w:p>
        </w:tc>
        <w:tc>
          <w:tcPr>
            <w:tcW w:type="dxa" w:w="3249"/>
            <w:shd w:val="clear" w:color="auto" w:fill="F1F5FB"/>
          </w:tcPr>
          <w:p>
            <w:pPr>
              <w:spacing w:after="40"/>
            </w:pPr>
            <w:r>
              <w:rPr>
                <w:sz w:val="18"/>
              </w:rPr>
              <w:t>Administradores (roles de aprobación)</w:t>
            </w:r>
          </w:p>
        </w:tc>
      </w:tr>
      <w:tr>
        <w:tc>
          <w:tcPr>
            <w:tcW w:type="dxa" w:w="3249"/>
          </w:tcPr>
          <w:p>
            <w:pPr>
              <w:spacing w:after="40"/>
            </w:pPr>
            <w:r>
              <w:rPr>
                <w:rFonts w:ascii="Consolas" w:hAnsi="Consolas" w:eastAsia="Consolas"/>
                <w:color w:val="9F1239"/>
                <w:sz w:val="17"/>
              </w:rPr>
              <w:t>/admin/admins</w:t>
            </w:r>
          </w:p>
        </w:tc>
        <w:tc>
          <w:tcPr>
            <w:tcW w:type="dxa" w:w="3249"/>
          </w:tcPr>
          <w:p>
            <w:pPr>
              <w:spacing w:after="40"/>
            </w:pPr>
            <w:r>
              <w:rPr>
                <w:rFonts w:ascii="Consolas" w:hAnsi="Consolas" w:eastAsia="Consolas"/>
                <w:color w:val="9F1239"/>
                <w:sz w:val="17"/>
              </w:rPr>
              <w:t>AdminsPanel</w:t>
            </w:r>
          </w:p>
        </w:tc>
        <w:tc>
          <w:tcPr>
            <w:tcW w:type="dxa" w:w="3249"/>
          </w:tcPr>
          <w:p>
            <w:pPr>
              <w:spacing w:after="40"/>
            </w:pPr>
            <w:r>
              <w:rPr>
                <w:sz w:val="18"/>
              </w:rPr>
              <w:t>Administradores</w:t>
            </w:r>
          </w:p>
        </w:tc>
      </w:tr>
      <w:tr>
        <w:tc>
          <w:tcPr>
            <w:tcW w:type="dxa" w:w="3249"/>
            <w:shd w:val="clear" w:color="auto" w:fill="F1F5FB"/>
          </w:tcPr>
          <w:p>
            <w:pPr>
              <w:spacing w:after="40"/>
            </w:pPr>
            <w:r>
              <w:rPr>
                <w:rFonts w:ascii="Consolas" w:hAnsi="Consolas" w:eastAsia="Consolas"/>
                <w:color w:val="9F1239"/>
                <w:sz w:val="17"/>
              </w:rPr>
              <w:t>/admin/parts</w:t>
            </w:r>
          </w:p>
        </w:tc>
        <w:tc>
          <w:tcPr>
            <w:tcW w:type="dxa" w:w="3249"/>
            <w:shd w:val="clear" w:color="auto" w:fill="F1F5FB"/>
          </w:tcPr>
          <w:p>
            <w:pPr>
              <w:spacing w:after="40"/>
            </w:pPr>
            <w:r>
              <w:rPr>
                <w:rFonts w:ascii="Consolas" w:hAnsi="Consolas" w:eastAsia="Consolas"/>
                <w:color w:val="9F1239"/>
                <w:sz w:val="17"/>
              </w:rPr>
              <w:t>PartCatalogPanel</w:t>
            </w:r>
          </w:p>
        </w:tc>
        <w:tc>
          <w:tcPr>
            <w:tcW w:type="dxa" w:w="3249"/>
            <w:shd w:val="clear" w:color="auto" w:fill="F1F5FB"/>
          </w:tcPr>
          <w:p>
            <w:pPr>
              <w:spacing w:after="40"/>
            </w:pPr>
            <w:r>
              <w:rPr>
                <w:sz w:val="18"/>
              </w:rPr>
              <w:t>Administradores (números de parte)</w:t>
            </w:r>
          </w:p>
        </w:tc>
      </w:tr>
      <w:tr>
        <w:tc>
          <w:tcPr>
            <w:tcW w:type="dxa" w:w="3249"/>
          </w:tcPr>
          <w:p>
            <w:pPr>
              <w:spacing w:after="40"/>
            </w:pPr>
            <w:r>
              <w:rPr>
                <w:rFonts w:ascii="Consolas" w:hAnsi="Consolas" w:eastAsia="Consolas"/>
                <w:color w:val="9F1239"/>
                <w:sz w:val="17"/>
              </w:rPr>
              <w:t>/admin/customers</w:t>
            </w:r>
          </w:p>
        </w:tc>
        <w:tc>
          <w:tcPr>
            <w:tcW w:type="dxa" w:w="3249"/>
          </w:tcPr>
          <w:p>
            <w:pPr>
              <w:spacing w:after="40"/>
            </w:pPr>
            <w:r>
              <w:rPr>
                <w:rFonts w:ascii="Consolas" w:hAnsi="Consolas" w:eastAsia="Consolas"/>
                <w:color w:val="9F1239"/>
                <w:sz w:val="17"/>
              </w:rPr>
              <w:t>CustomerCatalogPanel</w:t>
            </w:r>
          </w:p>
        </w:tc>
        <w:tc>
          <w:tcPr>
            <w:tcW w:type="dxa" w:w="3249"/>
          </w:tcPr>
          <w:p>
            <w:pPr>
              <w:spacing w:after="40"/>
            </w:pPr>
            <w:r>
              <w:rPr>
                <w:sz w:val="18"/>
              </w:rPr>
              <w:t>Administradores (catálogo de clientes)</w:t>
            </w:r>
          </w:p>
        </w:tc>
      </w:tr>
      <w:tr>
        <w:tc>
          <w:tcPr>
            <w:tcW w:type="dxa" w:w="3249"/>
            <w:shd w:val="clear" w:color="auto" w:fill="F1F5FB"/>
          </w:tcPr>
          <w:p>
            <w:pPr>
              <w:spacing w:after="40"/>
            </w:pPr>
            <w:r>
              <w:rPr>
                <w:rFonts w:ascii="Consolas" w:hAnsi="Consolas" w:eastAsia="Consolas"/>
                <w:color w:val="9F1239"/>
                <w:sz w:val="17"/>
              </w:rPr>
              <w:t>/login</w:t>
            </w:r>
          </w:p>
        </w:tc>
        <w:tc>
          <w:tcPr>
            <w:tcW w:type="dxa" w:w="3249"/>
            <w:shd w:val="clear" w:color="auto" w:fill="F1F5FB"/>
          </w:tcPr>
          <w:p>
            <w:pPr>
              <w:spacing w:after="40"/>
            </w:pPr>
            <w:r>
              <w:rPr>
                <w:rFonts w:ascii="Consolas" w:hAnsi="Consolas" w:eastAsia="Consolas"/>
                <w:color w:val="9F1239"/>
                <w:sz w:val="17"/>
              </w:rPr>
              <w:t>Login</w:t>
            </w:r>
          </w:p>
        </w:tc>
        <w:tc>
          <w:tcPr>
            <w:tcW w:type="dxa" w:w="3249"/>
            <w:shd w:val="clear" w:color="auto" w:fill="F1F5FB"/>
          </w:tcPr>
          <w:p>
            <w:pPr>
              <w:spacing w:after="40"/>
            </w:pPr>
            <w:r>
              <w:rPr>
                <w:sz w:val="18"/>
              </w:rPr>
              <w:t>Solo modo desarrollo</w:t>
            </w:r>
          </w:p>
        </w:tc>
      </w:tr>
      <w:tr>
        <w:tc>
          <w:tcPr>
            <w:tcW w:type="dxa" w:w="3249"/>
          </w:tcPr>
          <w:p>
            <w:pPr>
              <w:spacing w:after="40"/>
            </w:pPr>
            <w:r>
              <w:rPr>
                <w:rFonts w:ascii="Consolas" w:hAnsi="Consolas" w:eastAsia="Consolas"/>
                <w:color w:val="9F1239"/>
                <w:sz w:val="17"/>
              </w:rPr>
              <w:t>/auth/login</w:t>
            </w:r>
            <w:r>
              <w:rPr>
                <w:sz w:val="18"/>
              </w:rPr>
              <w:t xml:space="preserve"> (POST), </w:t>
            </w:r>
            <w:r>
              <w:rPr>
                <w:rFonts w:ascii="Consolas" w:hAnsi="Consolas" w:eastAsia="Consolas"/>
                <w:color w:val="9F1239"/>
                <w:sz w:val="17"/>
              </w:rPr>
              <w:t>/auth/logout</w:t>
            </w:r>
            <w:r>
              <w:rPr>
                <w:sz w:val="18"/>
              </w:rPr>
              <w:t xml:space="preserve"> (GET)</w:t>
            </w:r>
          </w:p>
        </w:tc>
        <w:tc>
          <w:tcPr>
            <w:tcW w:type="dxa" w:w="3249"/>
          </w:tcPr>
          <w:p>
            <w:pPr>
              <w:spacing w:after="40"/>
            </w:pPr>
            <w:r>
              <w:rPr>
                <w:rFonts w:ascii="Consolas" w:hAnsi="Consolas" w:eastAsia="Consolas"/>
                <w:color w:val="9F1239"/>
                <w:sz w:val="17"/>
              </w:rPr>
              <w:t>AuthController</w:t>
            </w:r>
          </w:p>
        </w:tc>
        <w:tc>
          <w:tcPr>
            <w:tcW w:type="dxa" w:w="3249"/>
          </w:tcPr>
          <w:p>
            <w:pPr>
              <w:spacing w:after="40"/>
            </w:pPr>
            <w:r>
              <w:rPr>
                <w:sz w:val="18"/>
              </w:rPr>
              <w:t>Login dev / cierre de sesión</w:t>
            </w:r>
          </w:p>
        </w:tc>
      </w:tr>
      <w:tr>
        <w:tc>
          <w:tcPr>
            <w:tcW w:type="dxa" w:w="3249"/>
            <w:shd w:val="clear" w:color="auto" w:fill="F1F5FB"/>
          </w:tcPr>
          <w:p>
            <w:pPr>
              <w:spacing w:after="40"/>
            </w:pPr>
            <w:r>
              <w:rPr>
                <w:rFonts w:ascii="Consolas" w:hAnsi="Consolas" w:eastAsia="Consolas"/>
                <w:color w:val="9F1239"/>
                <w:sz w:val="17"/>
              </w:rPr>
              <w:t>/Error</w:t>
            </w:r>
          </w:p>
        </w:tc>
        <w:tc>
          <w:tcPr>
            <w:tcW w:type="dxa" w:w="3249"/>
            <w:shd w:val="clear" w:color="auto" w:fill="F1F5FB"/>
          </w:tcPr>
          <w:p>
            <w:pPr>
              <w:spacing w:after="40"/>
            </w:pPr>
            <w:r>
              <w:rPr>
                <w:rFonts w:ascii="Consolas" w:hAnsi="Consolas" w:eastAsia="Consolas"/>
                <w:color w:val="9F1239"/>
                <w:sz w:val="17"/>
              </w:rPr>
              <w:t>Error</w:t>
            </w:r>
          </w:p>
        </w:tc>
        <w:tc>
          <w:tcPr>
            <w:tcW w:type="dxa" w:w="3249"/>
            <w:shd w:val="clear" w:color="auto" w:fill="F1F5FB"/>
          </w:tcPr>
          <w:p>
            <w:pPr>
              <w:spacing w:after="40"/>
            </w:pPr>
            <w:r>
              <w:rPr>
                <w:sz w:val="18"/>
              </w:rPr>
              <w:t>Manejo de excepciones</w:t>
            </w:r>
          </w:p>
        </w:tc>
      </w:tr>
    </w:tbl>
    <w:p>
      <w:pPr>
        <w:spacing w:after="40"/>
      </w:pPr>
    </w:p>
    <w:p>
      <w:r>
        <w:rPr>
          <w:rFonts w:ascii="Consolas" w:hAnsi="Consolas" w:eastAsia="Consolas"/>
          <w:color w:val="9F1239"/>
          <w:sz w:val="20"/>
        </w:rPr>
        <w:t>Counter</w:t>
      </w:r>
      <w:r>
        <w:t xml:space="preserve"> y </w:t>
      </w:r>
      <w:r>
        <w:rPr>
          <w:rFonts w:ascii="Consolas" w:hAnsi="Consolas" w:eastAsia="Consolas"/>
          <w:color w:val="9F1239"/>
          <w:sz w:val="20"/>
        </w:rPr>
        <w:t>Weather</w:t>
      </w:r>
      <w:r>
        <w:t xml:space="preserve"> son páginas de la plantilla sin uso real.</w:t>
      </w:r>
    </w:p>
    <w:p>
      <w:pPr>
        <w:pStyle w:val="Heading1"/>
      </w:pPr>
      <w:r>
        <w:t>8. Servicios</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Servicio</w:t>
            </w:r>
          </w:p>
        </w:tc>
        <w:tc>
          <w:tcPr>
            <w:tcW w:type="dxa" w:w="4873"/>
            <w:shd w:val="clear" w:color="auto" w:fill="1E3A8A"/>
          </w:tcPr>
          <w:p>
            <w:pPr>
              <w:spacing w:after="40"/>
            </w:pPr>
            <w:r>
              <w:rPr>
                <w:b/>
                <w:color w:val="FFFFFF"/>
                <w:sz w:val="18"/>
              </w:rPr>
              <w:t>Responsabilidad</w:t>
            </w:r>
          </w:p>
        </w:tc>
      </w:tr>
      <w:tr>
        <w:tc>
          <w:tcPr>
            <w:tcW w:type="dxa" w:w="4873"/>
          </w:tcPr>
          <w:p>
            <w:pPr>
              <w:spacing w:after="40"/>
            </w:pPr>
            <w:r>
              <w:rPr>
                <w:rFonts w:ascii="Consolas" w:hAnsi="Consolas" w:eastAsia="Consolas"/>
                <w:color w:val="9F1239"/>
                <w:sz w:val="17"/>
              </w:rPr>
              <w:t>ShippingRequestService</w:t>
            </w:r>
          </w:p>
        </w:tc>
        <w:tc>
          <w:tcPr>
            <w:tcW w:type="dxa" w:w="4873"/>
          </w:tcPr>
          <w:p>
            <w:pPr>
              <w:spacing w:after="40"/>
            </w:pPr>
            <w:r>
              <w:rPr>
                <w:sz w:val="18"/>
              </w:rPr>
              <w:t>Crear/guardar borradores y solicitudes, mapear paquetes e items, consultas</w:t>
            </w:r>
          </w:p>
        </w:tc>
      </w:tr>
      <w:tr>
        <w:tc>
          <w:tcPr>
            <w:tcW w:type="dxa" w:w="4873"/>
            <w:shd w:val="clear" w:color="auto" w:fill="F1F5FB"/>
          </w:tcPr>
          <w:p>
            <w:pPr>
              <w:spacing w:after="40"/>
            </w:pPr>
            <w:r>
              <w:rPr>
                <w:rFonts w:ascii="Consolas" w:hAnsi="Consolas" w:eastAsia="Consolas"/>
                <w:color w:val="9F1239"/>
                <w:sz w:val="17"/>
              </w:rPr>
              <w:t>QuoteService</w:t>
            </w:r>
          </w:p>
        </w:tc>
        <w:tc>
          <w:tcPr>
            <w:tcW w:type="dxa" w:w="4873"/>
            <w:shd w:val="clear" w:color="auto" w:fill="F1F5FB"/>
          </w:tcPr>
          <w:p>
            <w:pPr>
              <w:spacing w:after="40"/>
            </w:pPr>
            <w:r>
              <w:rPr>
                <w:sz w:val="18"/>
              </w:rPr>
              <w:t>Guardar IGI/Incoterm/Tipo de Operación/cotizaciones, seleccionar cotización, guardar Premium Freight</w:t>
            </w:r>
          </w:p>
        </w:tc>
      </w:tr>
      <w:tr>
        <w:tc>
          <w:tcPr>
            <w:tcW w:type="dxa" w:w="4873"/>
          </w:tcPr>
          <w:p>
            <w:pPr>
              <w:spacing w:after="40"/>
            </w:pPr>
            <w:r>
              <w:rPr>
                <w:rFonts w:ascii="Consolas" w:hAnsi="Consolas" w:eastAsia="Consolas"/>
                <w:color w:val="9F1239"/>
                <w:sz w:val="17"/>
              </w:rPr>
              <w:t>ApprovalService</w:t>
            </w:r>
          </w:p>
        </w:tc>
        <w:tc>
          <w:tcPr>
            <w:tcW w:type="dxa" w:w="4873"/>
          </w:tcPr>
          <w:p>
            <w:pPr>
              <w:spacing w:after="40"/>
            </w:pPr>
            <w:r>
              <w:rPr>
                <w:sz w:val="18"/>
              </w:rPr>
              <w:t>Construir la cadena, procesar aprobaciones/rechazos, calcular Pendientes</w:t>
            </w:r>
          </w:p>
        </w:tc>
      </w:tr>
      <w:tr>
        <w:tc>
          <w:tcPr>
            <w:tcW w:type="dxa" w:w="4873"/>
            <w:shd w:val="clear" w:color="auto" w:fill="F1F5FB"/>
          </w:tcPr>
          <w:p>
            <w:pPr>
              <w:spacing w:after="40"/>
            </w:pPr>
            <w:r>
              <w:rPr>
                <w:rFonts w:ascii="Consolas" w:hAnsi="Consolas" w:eastAsia="Consolas"/>
                <w:color w:val="9F1239"/>
                <w:sz w:val="17"/>
              </w:rPr>
              <w:t>PermissionService</w:t>
            </w:r>
          </w:p>
        </w:tc>
        <w:tc>
          <w:tcPr>
            <w:tcW w:type="dxa" w:w="4873"/>
            <w:shd w:val="clear" w:color="auto" w:fill="F1F5FB"/>
          </w:tcPr>
          <w:p>
            <w:pPr>
              <w:spacing w:after="40"/>
            </w:pPr>
            <w:r>
              <w:rPr>
                <w:sz w:val="18"/>
              </w:rPr>
              <w:t>Búsqueda/listado de usuarios (</w:t>
            </w:r>
            <w:r>
              <w:rPr>
                <w:rFonts w:ascii="Consolas" w:hAnsi="Consolas" w:eastAsia="Consolas"/>
                <w:color w:val="9F1239"/>
                <w:sz w:val="17"/>
              </w:rPr>
              <w:t>meax_all_user</w:t>
            </w:r>
            <w:r>
              <w:rPr>
                <w:sz w:val="18"/>
              </w:rPr>
              <w:t>), roles de aprobación, administradores</w:t>
            </w:r>
          </w:p>
        </w:tc>
      </w:tr>
      <w:tr>
        <w:tc>
          <w:tcPr>
            <w:tcW w:type="dxa" w:w="4873"/>
          </w:tcPr>
          <w:p>
            <w:pPr>
              <w:spacing w:after="40"/>
            </w:pPr>
            <w:r>
              <w:rPr>
                <w:rFonts w:ascii="Consolas" w:hAnsi="Consolas" w:eastAsia="Consolas"/>
                <w:color w:val="9F1239"/>
                <w:sz w:val="17"/>
              </w:rPr>
              <w:t>PartCatalogService</w:t>
            </w:r>
          </w:p>
        </w:tc>
        <w:tc>
          <w:tcPr>
            <w:tcW w:type="dxa" w:w="4873"/>
          </w:tcPr>
          <w:p>
            <w:pPr>
              <w:spacing w:after="40"/>
            </w:pPr>
            <w:r>
              <w:rPr>
                <w:sz w:val="18"/>
              </w:rPr>
              <w:t>Catálogo de números de parte</w:t>
            </w:r>
          </w:p>
        </w:tc>
      </w:tr>
      <w:tr>
        <w:tc>
          <w:tcPr>
            <w:tcW w:type="dxa" w:w="4873"/>
            <w:shd w:val="clear" w:color="auto" w:fill="F1F5FB"/>
          </w:tcPr>
          <w:p>
            <w:pPr>
              <w:spacing w:after="40"/>
            </w:pPr>
            <w:r>
              <w:rPr>
                <w:rFonts w:ascii="Consolas" w:hAnsi="Consolas" w:eastAsia="Consolas"/>
                <w:color w:val="9F1239"/>
                <w:sz w:val="17"/>
              </w:rPr>
              <w:t>CustomerCatalogService</w:t>
            </w:r>
          </w:p>
        </w:tc>
        <w:tc>
          <w:tcPr>
            <w:tcW w:type="dxa" w:w="4873"/>
            <w:shd w:val="clear" w:color="auto" w:fill="F1F5FB"/>
          </w:tcPr>
          <w:p>
            <w:pPr>
              <w:spacing w:after="40"/>
            </w:pPr>
            <w:r>
              <w:rPr>
                <w:sz w:val="18"/>
              </w:rPr>
              <w:t>Catálogo de clientes (listar, agregar, editar, activar/desactivar)</w:t>
            </w:r>
          </w:p>
        </w:tc>
      </w:tr>
      <w:tr>
        <w:tc>
          <w:tcPr>
            <w:tcW w:type="dxa" w:w="4873"/>
          </w:tcPr>
          <w:p>
            <w:pPr>
              <w:spacing w:after="40"/>
            </w:pPr>
            <w:r>
              <w:rPr>
                <w:rFonts w:ascii="Consolas" w:hAnsi="Consolas" w:eastAsia="Consolas"/>
                <w:color w:val="9F1239"/>
                <w:sz w:val="17"/>
              </w:rPr>
              <w:t>FolioService</w:t>
            </w:r>
          </w:p>
        </w:tc>
        <w:tc>
          <w:tcPr>
            <w:tcW w:type="dxa" w:w="4873"/>
          </w:tcPr>
          <w:p>
            <w:pPr>
              <w:spacing w:after="40"/>
            </w:pPr>
            <w:r>
              <w:rPr>
                <w:sz w:val="18"/>
              </w:rPr>
              <w:t xml:space="preserve">Folios </w:t>
            </w:r>
            <w:r>
              <w:rPr>
                <w:rFonts w:ascii="Consolas" w:hAnsi="Consolas" w:eastAsia="Consolas"/>
                <w:color w:val="9F1239"/>
                <w:sz w:val="17"/>
              </w:rPr>
              <w:t>SR-</w:t>
            </w:r>
            <w:r>
              <w:rPr>
                <w:sz w:val="18"/>
              </w:rPr>
              <w:t>/</w:t>
            </w:r>
            <w:r>
              <w:rPr>
                <w:rFonts w:ascii="Consolas" w:hAnsi="Consolas" w:eastAsia="Consolas"/>
                <w:color w:val="9F1239"/>
                <w:sz w:val="17"/>
              </w:rPr>
              <w:t>PF-</w:t>
            </w:r>
          </w:p>
        </w:tc>
      </w:tr>
      <w:tr>
        <w:tc>
          <w:tcPr>
            <w:tcW w:type="dxa" w:w="4873"/>
            <w:shd w:val="clear" w:color="auto" w:fill="F1F5FB"/>
          </w:tcPr>
          <w:p>
            <w:pPr>
              <w:spacing w:after="40"/>
            </w:pPr>
            <w:r>
              <w:rPr>
                <w:rFonts w:ascii="Consolas" w:hAnsi="Consolas" w:eastAsia="Consolas"/>
                <w:color w:val="9F1239"/>
                <w:sz w:val="17"/>
              </w:rPr>
              <w:t>FileService</w:t>
            </w:r>
          </w:p>
        </w:tc>
        <w:tc>
          <w:tcPr>
            <w:tcW w:type="dxa" w:w="4873"/>
            <w:shd w:val="clear" w:color="auto" w:fill="F1F5FB"/>
          </w:tcPr>
          <w:p>
            <w:pPr>
              <w:spacing w:after="40"/>
            </w:pPr>
            <w:r>
              <w:rPr>
                <w:sz w:val="18"/>
              </w:rPr>
              <w:t>Guardado de PDFs (cotizaciones, COO) y fotos de evidencia</w:t>
            </w:r>
          </w:p>
        </w:tc>
      </w:tr>
      <w:tr>
        <w:tc>
          <w:tcPr>
            <w:tcW w:type="dxa" w:w="4873"/>
          </w:tcPr>
          <w:p>
            <w:pPr>
              <w:spacing w:after="40"/>
            </w:pPr>
            <w:r>
              <w:rPr>
                <w:rFonts w:ascii="Consolas" w:hAnsi="Consolas" w:eastAsia="Consolas"/>
                <w:color w:val="9F1239"/>
                <w:sz w:val="17"/>
              </w:rPr>
              <w:t>EmailService</w:t>
            </w:r>
          </w:p>
        </w:tc>
        <w:tc>
          <w:tcPr>
            <w:tcW w:type="dxa" w:w="4873"/>
          </w:tcPr>
          <w:p>
            <w:pPr>
              <w:spacing w:after="40"/>
            </w:pPr>
            <w:r>
              <w:rPr>
                <w:sz w:val="18"/>
              </w:rPr>
              <w:t>Resumen de facturación a Finanzas</w:t>
            </w:r>
          </w:p>
        </w:tc>
      </w:tr>
      <w:tr>
        <w:tc>
          <w:tcPr>
            <w:tcW w:type="dxa" w:w="4873"/>
            <w:shd w:val="clear" w:color="auto" w:fill="F1F5FB"/>
          </w:tcPr>
          <w:p>
            <w:pPr>
              <w:spacing w:after="40"/>
            </w:pPr>
            <w:r>
              <w:rPr>
                <w:rFonts w:ascii="Consolas" w:hAnsi="Consolas" w:eastAsia="Consolas"/>
                <w:color w:val="9F1239"/>
                <w:sz w:val="17"/>
              </w:rPr>
              <w:t>CurrentUserService</w:t>
            </w:r>
          </w:p>
        </w:tc>
        <w:tc>
          <w:tcPr>
            <w:tcW w:type="dxa" w:w="4873"/>
            <w:shd w:val="clear" w:color="auto" w:fill="F1F5FB"/>
          </w:tcPr>
          <w:p>
            <w:pPr>
              <w:spacing w:after="40"/>
            </w:pPr>
            <w:r>
              <w:rPr>
                <w:sz w:val="18"/>
              </w:rPr>
              <w:t>Identidad del usuario actual a partir de los claims</w:t>
            </w:r>
          </w:p>
        </w:tc>
      </w:tr>
    </w:tbl>
    <w:p>
      <w:pPr>
        <w:spacing w:after="40"/>
      </w:pPr>
    </w:p>
    <w:p>
      <w:pPr>
        <w:pStyle w:val="Heading1"/>
      </w:pPr>
      <w:r>
        <w:t>9. Archivos subidos</w:t>
      </w:r>
    </w:p>
    <w:p>
      <w:r>
        <w:t xml:space="preserve">Se guardan en </w:t>
      </w:r>
      <w:r>
        <w:rPr>
          <w:rFonts w:ascii="Consolas" w:hAnsi="Consolas" w:eastAsia="Consolas"/>
          <w:color w:val="9F1239"/>
          <w:sz w:val="20"/>
        </w:rPr>
        <w:t>wwwroot/uploads/</w:t>
      </w:r>
      <w:r>
        <w:t>, con nombre GUID, y la ruta relativa (</w:t>
      </w:r>
      <w:r>
        <w:rPr>
          <w:rFonts w:ascii="Consolas" w:hAnsi="Consolas" w:eastAsia="Consolas"/>
          <w:color w:val="9F1239"/>
          <w:sz w:val="20"/>
        </w:rPr>
        <w:t>/uploads/...</w:t>
      </w:r>
      <w:r>
        <w:t>) queda en la base de datos:</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3249"/>
        <w:gridCol w:w="3249"/>
        <w:gridCol w:w="3249"/>
      </w:tblGrid>
      <w:tr>
        <w:trPr>
          <w:tblHeader w:val="true"/>
        </w:trPr>
        <w:tc>
          <w:tcPr>
            <w:tcW w:type="dxa" w:w="3249"/>
            <w:shd w:val="clear" w:color="auto" w:fill="1E3A8A"/>
          </w:tcPr>
          <w:p>
            <w:pPr>
              <w:spacing w:after="40"/>
            </w:pPr>
            <w:r>
              <w:rPr>
                <w:b/>
                <w:color w:val="FFFFFF"/>
                <w:sz w:val="18"/>
              </w:rPr>
              <w:t>Carpeta</w:t>
            </w:r>
          </w:p>
        </w:tc>
        <w:tc>
          <w:tcPr>
            <w:tcW w:type="dxa" w:w="3249"/>
            <w:shd w:val="clear" w:color="auto" w:fill="1E3A8A"/>
          </w:tcPr>
          <w:p>
            <w:pPr>
              <w:spacing w:after="40"/>
            </w:pPr>
            <w:r>
              <w:rPr>
                <w:b/>
                <w:color w:val="FFFFFF"/>
                <w:sz w:val="18"/>
              </w:rPr>
              <w:t>Contenido</w:t>
            </w:r>
          </w:p>
        </w:tc>
        <w:tc>
          <w:tcPr>
            <w:tcW w:type="dxa" w:w="3249"/>
            <w:shd w:val="clear" w:color="auto" w:fill="1E3A8A"/>
          </w:tcPr>
          <w:p>
            <w:pPr>
              <w:spacing w:after="40"/>
            </w:pPr>
            <w:r>
              <w:rPr>
                <w:b/>
                <w:color w:val="FFFFFF"/>
                <w:sz w:val="18"/>
              </w:rPr>
              <w:t>Límite</w:t>
            </w:r>
          </w:p>
        </w:tc>
      </w:tr>
      <w:tr>
        <w:tc>
          <w:tcPr>
            <w:tcW w:type="dxa" w:w="3249"/>
          </w:tcPr>
          <w:p>
            <w:pPr>
              <w:spacing w:after="40"/>
            </w:pPr>
            <w:r>
              <w:rPr>
                <w:rFonts w:ascii="Consolas" w:hAnsi="Consolas" w:eastAsia="Consolas"/>
                <w:color w:val="9F1239"/>
                <w:sz w:val="17"/>
              </w:rPr>
              <w:t>uploads/evidence/</w:t>
            </w:r>
          </w:p>
        </w:tc>
        <w:tc>
          <w:tcPr>
            <w:tcW w:type="dxa" w:w="3249"/>
          </w:tcPr>
          <w:p>
            <w:pPr>
              <w:spacing w:after="40"/>
            </w:pPr>
            <w:r>
              <w:rPr>
                <w:sz w:val="18"/>
              </w:rPr>
              <w:t>Fotos de evidencia (JPG/PNG)</w:t>
            </w:r>
          </w:p>
        </w:tc>
        <w:tc>
          <w:tcPr>
            <w:tcW w:type="dxa" w:w="3249"/>
          </w:tcPr>
          <w:p>
            <w:pPr>
              <w:spacing w:after="40"/>
            </w:pPr>
            <w:r>
              <w:rPr>
                <w:sz w:val="18"/>
              </w:rPr>
              <w:t>8 MB</w:t>
            </w:r>
          </w:p>
        </w:tc>
      </w:tr>
      <w:tr>
        <w:tc>
          <w:tcPr>
            <w:tcW w:type="dxa" w:w="3249"/>
            <w:shd w:val="clear" w:color="auto" w:fill="F1F5FB"/>
          </w:tcPr>
          <w:p>
            <w:pPr>
              <w:spacing w:after="40"/>
            </w:pPr>
            <w:r>
              <w:rPr>
                <w:rFonts w:ascii="Consolas" w:hAnsi="Consolas" w:eastAsia="Consolas"/>
                <w:color w:val="9F1239"/>
                <w:sz w:val="17"/>
              </w:rPr>
              <w:t>uploads/quotes/</w:t>
            </w:r>
          </w:p>
        </w:tc>
        <w:tc>
          <w:tcPr>
            <w:tcW w:type="dxa" w:w="3249"/>
            <w:shd w:val="clear" w:color="auto" w:fill="F1F5FB"/>
          </w:tcPr>
          <w:p>
            <w:pPr>
              <w:spacing w:after="40"/>
            </w:pPr>
            <w:r>
              <w:rPr>
                <w:sz w:val="18"/>
              </w:rPr>
              <w:t>PDF de cotizaciones</w:t>
            </w:r>
          </w:p>
        </w:tc>
        <w:tc>
          <w:tcPr>
            <w:tcW w:type="dxa" w:w="3249"/>
            <w:shd w:val="clear" w:color="auto" w:fill="F1F5FB"/>
          </w:tcPr>
          <w:p>
            <w:pPr>
              <w:spacing w:after="40"/>
            </w:pPr>
            <w:r>
              <w:rPr>
                <w:sz w:val="18"/>
              </w:rPr>
              <w:t>10 MB</w:t>
            </w:r>
          </w:p>
        </w:tc>
      </w:tr>
      <w:tr>
        <w:tc>
          <w:tcPr>
            <w:tcW w:type="dxa" w:w="3249"/>
          </w:tcPr>
          <w:p>
            <w:pPr>
              <w:spacing w:after="40"/>
            </w:pPr>
            <w:r>
              <w:rPr>
                <w:rFonts w:ascii="Consolas" w:hAnsi="Consolas" w:eastAsia="Consolas"/>
                <w:color w:val="9F1239"/>
                <w:sz w:val="17"/>
              </w:rPr>
              <w:t>uploads/coo/</w:t>
            </w:r>
          </w:p>
        </w:tc>
        <w:tc>
          <w:tcPr>
            <w:tcW w:type="dxa" w:w="3249"/>
          </w:tcPr>
          <w:p>
            <w:pPr>
              <w:spacing w:after="40"/>
            </w:pPr>
            <w:r>
              <w:rPr>
                <w:sz w:val="18"/>
              </w:rPr>
              <w:t>PDF del Certificado de Origen</w:t>
            </w:r>
          </w:p>
        </w:tc>
        <w:tc>
          <w:tcPr>
            <w:tcW w:type="dxa" w:w="3249"/>
          </w:tcPr>
          <w:p>
            <w:pPr>
              <w:spacing w:after="40"/>
            </w:pPr>
            <w:r>
              <w:rPr>
                <w:sz w:val="18"/>
              </w:rPr>
              <w:t>10 MB</w:t>
            </w:r>
          </w:p>
        </w:tc>
      </w:tr>
    </w:tbl>
    <w:p>
      <w:pPr>
        <w:spacing w:after="40"/>
      </w:pPr>
    </w:p>
    <w:p>
      <w:r>
        <w:t xml:space="preserve">Los archivos se leen y guardan </w:t>
      </w:r>
      <w:r>
        <w:rPr>
          <w:b/>
        </w:rPr>
        <w:t>en el momento de seleccionarlos</w:t>
      </w:r>
      <w:r>
        <w:t xml:space="preserve"> (no al presionar Guardar): al seleccionar, la interfaz reemplaza el </w:t>
      </w:r>
      <w:r>
        <w:rPr>
          <w:rFonts w:ascii="Consolas" w:hAnsi="Consolas" w:eastAsia="Consolas"/>
          <w:color w:val="9F1239"/>
          <w:sz w:val="20"/>
        </w:rPr>
        <w:t>&lt;InputFile&gt;</w:t>
      </w:r>
      <w:r>
        <w:t xml:space="preserve"> por el nombre del archivo y el navegador pierde la referencia (</w:t>
      </w:r>
      <w:r>
        <w:rPr>
          <w:rFonts w:ascii="Consolas" w:hAnsi="Consolas" w:eastAsia="Consolas"/>
          <w:color w:val="9F1239"/>
          <w:sz w:val="20"/>
        </w:rPr>
        <w:t>_blazorFilesById</w:t>
      </w:r>
      <w:r>
        <w:t xml:space="preserve">). Al mostrarlos se usa la ruta sin </w:t>
      </w:r>
      <w:r>
        <w:rPr>
          <w:rFonts w:ascii="Consolas" w:hAnsi="Consolas" w:eastAsia="Consolas"/>
          <w:color w:val="9F1239"/>
          <w:sz w:val="20"/>
        </w:rPr>
        <w:t>/</w:t>
      </w:r>
      <w:r>
        <w:t xml:space="preserve"> inicial para respetar el </w:t>
      </w:r>
      <w:r>
        <w:rPr>
          <w:rFonts w:ascii="Consolas" w:hAnsi="Consolas" w:eastAsia="Consolas"/>
          <w:color w:val="9F1239"/>
          <w:sz w:val="20"/>
        </w:rPr>
        <w:t>PathBase</w:t>
      </w:r>
      <w:r>
        <w:t>.</w:t>
      </w:r>
    </w:p>
    <w:p>
      <w:pPr>
        <w:pStyle w:val="Heading1"/>
      </w:pPr>
      <w:r>
        <w:t>10. Correo</w:t>
      </w:r>
    </w:p>
    <w:p>
      <w:r>
        <w:rPr>
          <w:rFonts w:ascii="Consolas" w:hAnsi="Consolas" w:eastAsia="Consolas"/>
          <w:color w:val="9F1239"/>
          <w:sz w:val="20"/>
        </w:rPr>
        <w:t>EmailService.SendFinanceSummaryAsync</w:t>
      </w:r>
      <w:r>
        <w:t xml:space="preserve"> envía un resumen HTML (datos generales, paquetes con su peso bruto/dimensiones, items, PDF de la cotización elegida adjunto) a </w:t>
      </w:r>
      <w:r>
        <w:rPr>
          <w:rFonts w:ascii="Consolas" w:hAnsi="Consolas" w:eastAsia="Consolas"/>
          <w:color w:val="9F1239"/>
          <w:sz w:val="20"/>
        </w:rPr>
        <w:t>Smtp:FinanceRecipients</w:t>
      </w:r>
      <w:r>
        <w:t xml:space="preserve">. Lo dispara el Finance Manager de la solicitud con el botón "Enviar a Finanzas" (estado </w:t>
      </w:r>
      <w:r>
        <w:rPr>
          <w:rFonts w:ascii="Consolas" w:hAnsi="Consolas" w:eastAsia="Consolas"/>
          <w:color w:val="9F1239"/>
          <w:sz w:val="20"/>
        </w:rPr>
        <w:t>PendingFinanceManager</w:t>
      </w:r>
      <w:r>
        <w:t xml:space="preserve"> o </w:t>
      </w:r>
      <w:r>
        <w:rPr>
          <w:rFonts w:ascii="Consolas" w:hAnsi="Consolas" w:eastAsia="Consolas"/>
          <w:color w:val="9F1239"/>
          <w:sz w:val="20"/>
        </w:rPr>
        <w:t>Approved</w:t>
      </w:r>
      <w:r>
        <w:t xml:space="preserve">). Si </w:t>
      </w:r>
      <w:r>
        <w:rPr>
          <w:rFonts w:ascii="Consolas" w:hAnsi="Consolas" w:eastAsia="Consolas"/>
          <w:color w:val="9F1239"/>
          <w:sz w:val="20"/>
        </w:rPr>
        <w:t>Smtp:Host</w:t>
      </w:r>
      <w:r>
        <w:t xml:space="preserve"> o los destinatarios están vacíos, lanza un error indicando que no está configurado.</w:t>
      </w:r>
    </w:p>
    <w:p>
      <w:pPr>
        <w:pStyle w:val="Heading1"/>
      </w:pPr>
      <w:r>
        <w:t>11. Configuración</w:t>
      </w:r>
    </w:p>
    <w:p>
      <w:pPr>
        <w:pStyle w:val="Heading2"/>
      </w:pPr>
      <w:r>
        <w:t xml:space="preserve">11.1 </w:t>
      </w:r>
      <w:r>
        <w:rPr>
          <w:rFonts w:ascii="Consolas" w:hAnsi="Consolas" w:eastAsia="Consolas"/>
          <w:color w:val="9F1239"/>
          <w:sz w:val="20"/>
        </w:rPr>
        <w:t>appsettings.json</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Clave</w:t>
            </w:r>
          </w:p>
        </w:tc>
        <w:tc>
          <w:tcPr>
            <w:tcW w:type="dxa" w:w="4873"/>
            <w:shd w:val="clear" w:color="auto" w:fill="1E3A8A"/>
          </w:tcPr>
          <w:p>
            <w:pPr>
              <w:spacing w:after="40"/>
            </w:pPr>
            <w:r>
              <w:rPr>
                <w:b/>
                <w:color w:val="FFFFFF"/>
                <w:sz w:val="18"/>
              </w:rPr>
              <w:t>Valor / uso</w:t>
            </w:r>
          </w:p>
        </w:tc>
      </w:tr>
      <w:tr>
        <w:tc>
          <w:tcPr>
            <w:tcW w:type="dxa" w:w="4873"/>
          </w:tcPr>
          <w:p>
            <w:pPr>
              <w:spacing w:after="40"/>
            </w:pPr>
            <w:r>
              <w:rPr>
                <w:rFonts w:ascii="Consolas" w:hAnsi="Consolas" w:eastAsia="Consolas"/>
                <w:color w:val="9F1239"/>
                <w:sz w:val="17"/>
              </w:rPr>
              <w:t>Jwt:Issuer</w:t>
            </w:r>
            <w:r>
              <w:rPr>
                <w:sz w:val="18"/>
              </w:rPr>
              <w:t xml:space="preserve"> / </w:t>
            </w:r>
            <w:r>
              <w:rPr>
                <w:rFonts w:ascii="Consolas" w:hAnsi="Consolas" w:eastAsia="Consolas"/>
                <w:color w:val="9F1239"/>
                <w:sz w:val="17"/>
              </w:rPr>
              <w:t>Jwt:Audience</w:t>
            </w:r>
          </w:p>
        </w:tc>
        <w:tc>
          <w:tcPr>
            <w:tcW w:type="dxa" w:w="4873"/>
          </w:tcPr>
          <w:p>
            <w:pPr>
              <w:spacing w:after="40"/>
            </w:pPr>
            <w:r>
              <w:rPr>
                <w:rFonts w:ascii="Consolas" w:hAnsi="Consolas" w:eastAsia="Consolas"/>
                <w:color w:val="9F1239"/>
                <w:sz w:val="17"/>
              </w:rPr>
              <w:t>meaxHub</w:t>
            </w:r>
            <w:r>
              <w:rPr>
                <w:sz w:val="18"/>
              </w:rPr>
              <w:t xml:space="preserve"> / </w:t>
            </w:r>
            <w:r>
              <w:rPr>
                <w:rFonts w:ascii="Consolas" w:hAnsi="Consolas" w:eastAsia="Consolas"/>
                <w:color w:val="9F1239"/>
                <w:sz w:val="17"/>
              </w:rPr>
              <w:t>meax-services</w:t>
            </w:r>
          </w:p>
        </w:tc>
      </w:tr>
      <w:tr>
        <w:tc>
          <w:tcPr>
            <w:tcW w:type="dxa" w:w="4873"/>
            <w:shd w:val="clear" w:color="auto" w:fill="F1F5FB"/>
          </w:tcPr>
          <w:p>
            <w:pPr>
              <w:spacing w:after="40"/>
            </w:pPr>
            <w:r>
              <w:rPr>
                <w:rFonts w:ascii="Consolas" w:hAnsi="Consolas" w:eastAsia="Consolas"/>
                <w:color w:val="9F1239"/>
                <w:sz w:val="17"/>
              </w:rPr>
              <w:t>Hub:BaseUrl</w:t>
            </w:r>
          </w:p>
        </w:tc>
        <w:tc>
          <w:tcPr>
            <w:tcW w:type="dxa" w:w="4873"/>
            <w:shd w:val="clear" w:color="auto" w:fill="F1F5FB"/>
          </w:tcPr>
          <w:p>
            <w:pPr>
              <w:spacing w:after="40"/>
            </w:pPr>
            <w:r>
              <w:rPr>
                <w:rFonts w:ascii="Consolas" w:hAnsi="Consolas" w:eastAsia="Consolas"/>
                <w:color w:val="9F1239"/>
                <w:sz w:val="17"/>
              </w:rPr>
              <w:t>http://meax.one</w:t>
            </w:r>
            <w:r>
              <w:rPr>
                <w:sz w:val="18"/>
              </w:rPr>
              <w:t xml:space="preserve"> (también destino del logo de la barra superior)</w:t>
            </w:r>
          </w:p>
        </w:tc>
      </w:tr>
      <w:tr>
        <w:tc>
          <w:tcPr>
            <w:tcW w:type="dxa" w:w="4873"/>
          </w:tcPr>
          <w:p>
            <w:pPr>
              <w:spacing w:after="40"/>
            </w:pPr>
            <w:r>
              <w:rPr>
                <w:rFonts w:ascii="Consolas" w:hAnsi="Consolas" w:eastAsia="Consolas"/>
                <w:color w:val="9F1239"/>
                <w:sz w:val="17"/>
              </w:rPr>
              <w:t>Hub:SystemCode</w:t>
            </w:r>
          </w:p>
        </w:tc>
        <w:tc>
          <w:tcPr>
            <w:tcW w:type="dxa" w:w="4873"/>
          </w:tcPr>
          <w:p>
            <w:pPr>
              <w:spacing w:after="40"/>
            </w:pPr>
            <w:r>
              <w:rPr>
                <w:rFonts w:ascii="Consolas" w:hAnsi="Consolas" w:eastAsia="Consolas"/>
                <w:color w:val="9F1239"/>
                <w:sz w:val="17"/>
              </w:rPr>
              <w:t>SHP</w:t>
            </w:r>
            <w:r>
              <w:rPr>
                <w:sz w:val="18"/>
              </w:rPr>
              <w:t xml:space="preserve"> (código con el que el sistema está registrado en el hub)</w:t>
            </w:r>
          </w:p>
        </w:tc>
      </w:tr>
      <w:tr>
        <w:tc>
          <w:tcPr>
            <w:tcW w:type="dxa" w:w="4873"/>
            <w:shd w:val="clear" w:color="auto" w:fill="F1F5FB"/>
          </w:tcPr>
          <w:p>
            <w:pPr>
              <w:spacing w:after="40"/>
            </w:pPr>
            <w:r>
              <w:rPr>
                <w:rFonts w:ascii="Consolas" w:hAnsi="Consolas" w:eastAsia="Consolas"/>
                <w:color w:val="9F1239"/>
                <w:sz w:val="17"/>
              </w:rPr>
              <w:t>Smtp:Host</w:t>
            </w:r>
            <w:r>
              <w:rPr>
                <w:sz w:val="18"/>
              </w:rPr>
              <w:t xml:space="preserve">, </w:t>
            </w:r>
            <w:r>
              <w:rPr>
                <w:rFonts w:ascii="Consolas" w:hAnsi="Consolas" w:eastAsia="Consolas"/>
                <w:color w:val="9F1239"/>
                <w:sz w:val="17"/>
              </w:rPr>
              <w:t>Port</w:t>
            </w:r>
            <w:r>
              <w:rPr>
                <w:sz w:val="18"/>
              </w:rPr>
              <w:t xml:space="preserve">, </w:t>
            </w:r>
            <w:r>
              <w:rPr>
                <w:rFonts w:ascii="Consolas" w:hAnsi="Consolas" w:eastAsia="Consolas"/>
                <w:color w:val="9F1239"/>
                <w:sz w:val="17"/>
              </w:rPr>
              <w:t>EnableSsl</w:t>
            </w:r>
            <w:r>
              <w:rPr>
                <w:sz w:val="18"/>
              </w:rPr>
              <w:t xml:space="preserve">, </w:t>
            </w:r>
            <w:r>
              <w:rPr>
                <w:rFonts w:ascii="Consolas" w:hAnsi="Consolas" w:eastAsia="Consolas"/>
                <w:color w:val="9F1239"/>
                <w:sz w:val="17"/>
              </w:rPr>
              <w:t>User</w:t>
            </w:r>
            <w:r>
              <w:rPr>
                <w:sz w:val="18"/>
              </w:rPr>
              <w:t xml:space="preserve">, </w:t>
            </w:r>
            <w:r>
              <w:rPr>
                <w:rFonts w:ascii="Consolas" w:hAnsi="Consolas" w:eastAsia="Consolas"/>
                <w:color w:val="9F1239"/>
                <w:sz w:val="17"/>
              </w:rPr>
              <w:t>Password</w:t>
            </w:r>
            <w:r>
              <w:rPr>
                <w:sz w:val="18"/>
              </w:rPr>
              <w:t xml:space="preserve">, </w:t>
            </w:r>
            <w:r>
              <w:rPr>
                <w:rFonts w:ascii="Consolas" w:hAnsi="Consolas" w:eastAsia="Consolas"/>
                <w:color w:val="9F1239"/>
                <w:sz w:val="17"/>
              </w:rPr>
              <w:t>From</w:t>
            </w:r>
            <w:r>
              <w:rPr>
                <w:sz w:val="18"/>
              </w:rPr>
              <w:t xml:space="preserve">, </w:t>
            </w:r>
            <w:r>
              <w:rPr>
                <w:rFonts w:ascii="Consolas" w:hAnsi="Consolas" w:eastAsia="Consolas"/>
                <w:color w:val="9F1239"/>
                <w:sz w:val="17"/>
              </w:rPr>
              <w:t>FinanceRecipients</w:t>
            </w:r>
          </w:p>
        </w:tc>
        <w:tc>
          <w:tcPr>
            <w:tcW w:type="dxa" w:w="4873"/>
            <w:shd w:val="clear" w:color="auto" w:fill="F1F5FB"/>
          </w:tcPr>
          <w:p>
            <w:pPr>
              <w:spacing w:after="40"/>
            </w:pPr>
            <w:r>
              <w:rPr>
                <w:sz w:val="18"/>
              </w:rPr>
              <w:t xml:space="preserve">Correo a Finanzas (hoy </w:t>
            </w:r>
            <w:r>
              <w:rPr>
                <w:rFonts w:ascii="Consolas" w:hAnsi="Consolas" w:eastAsia="Consolas"/>
                <w:color w:val="9F1239"/>
                <w:sz w:val="17"/>
              </w:rPr>
              <w:t>Host</w:t>
            </w:r>
            <w:r>
              <w:rPr>
                <w:sz w:val="18"/>
              </w:rPr>
              <w:t xml:space="preserve"> y destinatarios vacíos)</w:t>
            </w:r>
          </w:p>
        </w:tc>
      </w:tr>
      <w:tr>
        <w:tc>
          <w:tcPr>
            <w:tcW w:type="dxa" w:w="4873"/>
          </w:tcPr>
          <w:p>
            <w:pPr>
              <w:spacing w:after="40"/>
            </w:pPr>
            <w:r>
              <w:rPr>
                <w:rFonts w:ascii="Consolas" w:hAnsi="Consolas" w:eastAsia="Consolas"/>
                <w:color w:val="9F1239"/>
                <w:sz w:val="17"/>
              </w:rPr>
              <w:t>Logging</w:t>
            </w:r>
            <w:r>
              <w:rPr>
                <w:sz w:val="18"/>
              </w:rPr>
              <w:t xml:space="preserve">, </w:t>
            </w:r>
            <w:r>
              <w:rPr>
                <w:rFonts w:ascii="Consolas" w:hAnsi="Consolas" w:eastAsia="Consolas"/>
                <w:color w:val="9F1239"/>
                <w:sz w:val="17"/>
              </w:rPr>
              <w:t>AllowedHosts</w:t>
            </w:r>
          </w:p>
        </w:tc>
        <w:tc>
          <w:tcPr>
            <w:tcW w:type="dxa" w:w="4873"/>
          </w:tcPr>
          <w:p>
            <w:pPr>
              <w:spacing w:after="40"/>
            </w:pPr>
            <w:r>
              <w:rPr>
                <w:sz w:val="18"/>
              </w:rPr>
              <w:t>Estándar</w:t>
            </w:r>
          </w:p>
        </w:tc>
      </w:tr>
    </w:tbl>
    <w:p>
      <w:pPr>
        <w:spacing w:after="40"/>
      </w:pPr>
    </w:p>
    <w:p>
      <w:pPr>
        <w:pStyle w:val="Heading2"/>
      </w:pPr>
      <w:r>
        <w:t>11.2 Secretos: solo variables de entorno</w:t>
      </w:r>
    </w:p>
    <w:tbl>
      <w:tblPr>
        <w:tblW w:type="auto" w:w="0"/>
        <w:jc w:val="center"/>
        <w:tblLayout w:type="autofit"/>
        <w:tblLook w:firstColumn="1" w:firstRow="1" w:lastColumn="0" w:lastRow="0" w:noHBand="0" w:noVBand="1" w:val="04A0"/>
        <w:tblBorders>
          <w:top w:val="single" w:sz="4" w:color="B8C2D6"/>
          <w:left w:val="single" w:sz="4" w:color="B8C2D6"/>
          <w:bottom w:val="single" w:sz="4" w:color="B8C2D6"/>
          <w:right w:val="single" w:sz="4" w:color="B8C2D6"/>
          <w:insideH w:val="single" w:sz="4" w:color="B8C2D6"/>
          <w:insideV w:val="single" w:sz="4" w:color="B8C2D6"/>
        </w:tblBorders>
      </w:tblPr>
      <w:tblGrid>
        <w:gridCol w:w="4873"/>
        <w:gridCol w:w="4873"/>
      </w:tblGrid>
      <w:tr>
        <w:trPr>
          <w:tblHeader w:val="true"/>
        </w:trPr>
        <w:tc>
          <w:tcPr>
            <w:tcW w:type="dxa" w:w="4873"/>
            <w:shd w:val="clear" w:color="auto" w:fill="1E3A8A"/>
          </w:tcPr>
          <w:p>
            <w:pPr>
              <w:spacing w:after="40"/>
            </w:pPr>
            <w:r>
              <w:rPr>
                <w:b/>
                <w:color w:val="FFFFFF"/>
                <w:sz w:val="18"/>
              </w:rPr>
              <w:t>Variable de entorno</w:t>
            </w:r>
          </w:p>
        </w:tc>
        <w:tc>
          <w:tcPr>
            <w:tcW w:type="dxa" w:w="4873"/>
            <w:shd w:val="clear" w:color="auto" w:fill="1E3A8A"/>
          </w:tcPr>
          <w:p>
            <w:pPr>
              <w:spacing w:after="40"/>
            </w:pPr>
            <w:r>
              <w:rPr>
                <w:b/>
                <w:color w:val="FFFFFF"/>
                <w:sz w:val="18"/>
              </w:rPr>
              <w:t>Uso</w:t>
            </w:r>
          </w:p>
        </w:tc>
      </w:tr>
      <w:tr>
        <w:tc>
          <w:tcPr>
            <w:tcW w:type="dxa" w:w="4873"/>
          </w:tcPr>
          <w:p>
            <w:pPr>
              <w:spacing w:after="40"/>
            </w:pPr>
            <w:r>
              <w:rPr>
                <w:rFonts w:ascii="Consolas" w:hAnsi="Consolas" w:eastAsia="Consolas"/>
                <w:color w:val="9F1239"/>
                <w:sz w:val="17"/>
              </w:rPr>
              <w:t>ConnectionStrings__DefaultConnection</w:t>
            </w:r>
            <w:r>
              <w:rPr>
                <w:sz w:val="18"/>
              </w:rPr>
              <w:t xml:space="preserve"> (o </w:t>
            </w:r>
            <w:r>
              <w:rPr>
                <w:rFonts w:ascii="Consolas" w:hAnsi="Consolas" w:eastAsia="Consolas"/>
                <w:color w:val="9F1239"/>
                <w:sz w:val="17"/>
              </w:rPr>
              <w:t>ConnectionStrings__MeaxDb</w:t>
            </w:r>
            <w:r>
              <w:rPr>
                <w:sz w:val="18"/>
              </w:rPr>
              <w:t>)</w:t>
            </w:r>
          </w:p>
        </w:tc>
        <w:tc>
          <w:tcPr>
            <w:tcW w:type="dxa" w:w="4873"/>
          </w:tcPr>
          <w:p>
            <w:pPr>
              <w:spacing w:after="40"/>
            </w:pPr>
            <w:r>
              <w:rPr>
                <w:sz w:val="18"/>
              </w:rPr>
              <w:t xml:space="preserve">Cadena de conexión a </w:t>
            </w:r>
            <w:r>
              <w:rPr>
                <w:rFonts w:ascii="Consolas" w:hAnsi="Consolas" w:eastAsia="Consolas"/>
                <w:color w:val="9F1239"/>
                <w:sz w:val="17"/>
              </w:rPr>
              <w:t>meax_db</w:t>
            </w:r>
          </w:p>
        </w:tc>
      </w:tr>
      <w:tr>
        <w:tc>
          <w:tcPr>
            <w:tcW w:type="dxa" w:w="4873"/>
            <w:shd w:val="clear" w:color="auto" w:fill="F1F5FB"/>
          </w:tcPr>
          <w:p>
            <w:pPr>
              <w:spacing w:after="40"/>
            </w:pPr>
            <w:r>
              <w:rPr>
                <w:rFonts w:ascii="Consolas" w:hAnsi="Consolas" w:eastAsia="Consolas"/>
                <w:color w:val="9F1239"/>
                <w:sz w:val="17"/>
              </w:rPr>
              <w:t>Jwt__Secret</w:t>
            </w:r>
          </w:p>
        </w:tc>
        <w:tc>
          <w:tcPr>
            <w:tcW w:type="dxa" w:w="4873"/>
            <w:shd w:val="clear" w:color="auto" w:fill="F1F5FB"/>
          </w:tcPr>
          <w:p>
            <w:pPr>
              <w:spacing w:after="40"/>
            </w:pPr>
            <w:r>
              <w:rPr>
                <w:sz w:val="18"/>
              </w:rPr>
              <w:t xml:space="preserve">Secreto HS256, </w:t>
            </w:r>
            <w:r>
              <w:rPr>
                <w:b/>
                <w:sz w:val="18"/>
              </w:rPr>
              <w:t>idéntico byte a byte al del hub</w:t>
            </w:r>
            <w:r>
              <w:rPr>
                <w:sz w:val="18"/>
              </w:rPr>
              <w:t>, mínimo 32 bytes</w:t>
            </w:r>
          </w:p>
        </w:tc>
      </w:tr>
      <w:tr>
        <w:tc>
          <w:tcPr>
            <w:tcW w:type="dxa" w:w="4873"/>
          </w:tcPr>
          <w:p>
            <w:pPr>
              <w:spacing w:after="40"/>
            </w:pPr>
            <w:r>
              <w:rPr>
                <w:rFonts w:ascii="Consolas" w:hAnsi="Consolas" w:eastAsia="Consolas"/>
                <w:color w:val="9F1239"/>
                <w:sz w:val="17"/>
              </w:rPr>
              <w:t>Smtp__Password</w:t>
            </w:r>
            <w:r>
              <w:rPr>
                <w:sz w:val="18"/>
              </w:rPr>
              <w:t xml:space="preserve"> (si aplica)</w:t>
            </w:r>
          </w:p>
        </w:tc>
        <w:tc>
          <w:tcPr>
            <w:tcW w:type="dxa" w:w="4873"/>
          </w:tcPr>
          <w:p>
            <w:pPr>
              <w:spacing w:after="40"/>
            </w:pPr>
            <w:r>
              <w:rPr>
                <w:sz w:val="18"/>
              </w:rPr>
              <w:t>Contraseña SMTP</w:t>
            </w:r>
          </w:p>
        </w:tc>
      </w:tr>
    </w:tbl>
    <w:p>
      <w:pPr>
        <w:spacing w:after="40"/>
      </w:pPr>
    </w:p>
    <w:p>
      <w:r>
        <w:t xml:space="preserve">Si falta la cadena de conexión o </w:t>
      </w:r>
      <w:r>
        <w:rPr>
          <w:rFonts w:ascii="Consolas" w:hAnsi="Consolas" w:eastAsia="Consolas"/>
          <w:color w:val="9F1239"/>
          <w:sz w:val="20"/>
        </w:rPr>
        <w:t>Jwt:Secret</w:t>
      </w:r>
      <w:r>
        <w:t xml:space="preserve"> la aplicación falla al arrancar con un mensaje explícito. En el servidor, las variables deben ser </w:t>
      </w:r>
      <w:r>
        <w:rPr>
          <w:b/>
        </w:rPr>
        <w:t>de sistema</w:t>
      </w:r>
      <w:r>
        <w:t xml:space="preserve"> y, tras cambiarlas, hay que ejecutar </w:t>
      </w:r>
      <w:r>
        <w:rPr>
          <w:rFonts w:ascii="Consolas" w:hAnsi="Consolas" w:eastAsia="Consolas"/>
          <w:color w:val="9F1239"/>
          <w:sz w:val="20"/>
        </w:rPr>
        <w:t>iisreset</w:t>
      </w:r>
      <w:r>
        <w:t xml:space="preserve"> (reciclar el Application Pool no basta).</w:t>
      </w:r>
    </w:p>
    <w:p>
      <w:pPr>
        <w:pStyle w:val="Heading2"/>
      </w:pPr>
      <w:r>
        <w:t xml:space="preserve">11.3 </w:t>
      </w:r>
      <w:r>
        <w:rPr>
          <w:rFonts w:ascii="Consolas" w:hAnsi="Consolas" w:eastAsia="Consolas"/>
          <w:color w:val="9F1239"/>
          <w:sz w:val="20"/>
        </w:rPr>
        <w:t>appsettings.Development.json</w:t>
      </w:r>
    </w:p>
    <w:p>
      <w:r>
        <w:t xml:space="preserve">Solo existe para desarrollo e incluye </w:t>
      </w:r>
      <w:r>
        <w:rPr>
          <w:rFonts w:ascii="Consolas" w:hAnsi="Consolas" w:eastAsia="Consolas"/>
          <w:color w:val="9F1239"/>
          <w:sz w:val="20"/>
        </w:rPr>
        <w:t>Auth:DevLogin</w:t>
      </w:r>
      <w:r>
        <w:t xml:space="preserve">, </w:t>
      </w:r>
      <w:r>
        <w:rPr>
          <w:rFonts w:ascii="Consolas" w:hAnsi="Consolas" w:eastAsia="Consolas"/>
          <w:color w:val="9F1239"/>
          <w:sz w:val="20"/>
        </w:rPr>
        <w:t>Auth:DevPassword</w:t>
      </w:r>
      <w:r>
        <w:t xml:space="preserve"> (por omisión </w:t>
      </w:r>
      <w:r>
        <w:rPr>
          <w:rFonts w:ascii="Consolas" w:hAnsi="Consolas" w:eastAsia="Consolas"/>
          <w:color w:val="9F1239"/>
          <w:sz w:val="20"/>
        </w:rPr>
        <w:t>dev</w:t>
      </w:r>
      <w:r>
        <w:t xml:space="preserve">) y </w:t>
      </w:r>
      <w:r>
        <w:rPr>
          <w:rFonts w:ascii="Consolas" w:hAnsi="Consolas" w:eastAsia="Consolas"/>
          <w:color w:val="9F1239"/>
          <w:sz w:val="20"/>
        </w:rPr>
        <w:t>Auth:DevUser</w:t>
      </w:r>
      <w:r>
        <w:t xml:space="preserve"> (</w:t>
      </w:r>
      <w:r>
        <w:rPr>
          <w:rFonts w:ascii="Consolas" w:hAnsi="Consolas" w:eastAsia="Consolas"/>
          <w:color w:val="9F1239"/>
          <w:sz w:val="20"/>
        </w:rPr>
        <w:t>PcLoginId</w:t>
      </w:r>
      <w:r>
        <w:t xml:space="preserve">, </w:t>
      </w:r>
      <w:r>
        <w:rPr>
          <w:rFonts w:ascii="Consolas" w:hAnsi="Consolas" w:eastAsia="Consolas"/>
          <w:color w:val="9F1239"/>
          <w:sz w:val="20"/>
        </w:rPr>
        <w:t>DisplayName</w:t>
      </w:r>
      <w:r>
        <w:t xml:space="preserve">, </w:t>
      </w:r>
      <w:r>
        <w:rPr>
          <w:rFonts w:ascii="Consolas" w:hAnsi="Consolas" w:eastAsia="Consolas"/>
          <w:color w:val="9F1239"/>
          <w:sz w:val="20"/>
        </w:rPr>
        <w:t>Department</w:t>
      </w:r>
      <w:r>
        <w:t xml:space="preserve">, </w:t>
      </w:r>
      <w:r>
        <w:rPr>
          <w:rFonts w:ascii="Consolas" w:hAnsi="Consolas" w:eastAsia="Consolas"/>
          <w:color w:val="9F1239"/>
          <w:sz w:val="20"/>
        </w:rPr>
        <w:t>Position</w:t>
      </w:r>
      <w:r>
        <w:t xml:space="preserve">, </w:t>
      </w:r>
      <w:r>
        <w:rPr>
          <w:rFonts w:ascii="Consolas" w:hAnsi="Consolas" w:eastAsia="Consolas"/>
          <w:color w:val="9F1239"/>
          <w:sz w:val="20"/>
        </w:rPr>
        <w:t>EmployeeId</w:t>
      </w:r>
      <w:r>
        <w:t xml:space="preserve">, </w:t>
      </w:r>
      <w:r>
        <w:rPr>
          <w:rFonts w:ascii="Consolas" w:hAnsi="Consolas" w:eastAsia="Consolas"/>
          <w:color w:val="9F1239"/>
          <w:sz w:val="20"/>
        </w:rPr>
        <w:t>SystemRole</w:t>
      </w:r>
      <w:r>
        <w:t xml:space="preserve">). </w:t>
      </w:r>
      <w:r>
        <w:rPr>
          <w:b/>
        </w:rPr>
        <w:t>No debe copiarse al servidor.</w:t>
      </w:r>
    </w:p>
    <w:p>
      <w:pPr>
        <w:pStyle w:val="Heading1"/>
      </w:pPr>
      <w:r>
        <w:t>12. Despliegue</w:t>
      </w:r>
    </w:p>
    <w:p>
      <w:pPr>
        <w:pStyle w:val="Heading2"/>
      </w:pPr>
      <w:r>
        <w:t>12.1 Entorno de producción</w:t>
      </w:r>
    </w:p>
    <w:p>
      <w:pPr>
        <w:pStyle w:val="ListBullet"/>
        <w:spacing w:after="40"/>
      </w:pPr>
      <w:r>
        <w:t xml:space="preserve">Servidor </w:t>
      </w:r>
      <w:r>
        <w:rPr>
          <w:rFonts w:ascii="Consolas" w:hAnsi="Consolas" w:eastAsia="Consolas"/>
          <w:color w:val="9F1239"/>
          <w:sz w:val="20"/>
        </w:rPr>
        <w:t>MEAXS066</w:t>
      </w:r>
      <w:r>
        <w:t xml:space="preserve">, sitio IIS como </w:t>
      </w:r>
      <w:r>
        <w:rPr>
          <w:b/>
        </w:rPr>
        <w:t>sub-aplicación</w:t>
      </w:r>
      <w:r>
        <w:t xml:space="preserve"> </w:t>
      </w:r>
      <w:r>
        <w:rPr>
          <w:rFonts w:ascii="Consolas" w:hAnsi="Consolas" w:eastAsia="Consolas"/>
          <w:color w:val="9F1239"/>
          <w:sz w:val="20"/>
        </w:rPr>
        <w:t>/ShippingRequest</w:t>
      </w:r>
      <w:r>
        <w:t xml:space="preserve">; ruta física </w:t>
      </w:r>
      <w:r>
        <w:rPr>
          <w:rFonts w:ascii="Consolas" w:hAnsi="Consolas" w:eastAsia="Consolas"/>
          <w:color w:val="9F1239"/>
          <w:sz w:val="20"/>
        </w:rPr>
        <w:t>\\MEAXS066\inetpub\Services\ShippingRequest</w:t>
      </w:r>
      <w:r>
        <w:t>.</w:t>
      </w:r>
    </w:p>
    <w:p>
      <w:pPr>
        <w:pStyle w:val="ListBullet"/>
        <w:spacing w:after="40"/>
      </w:pPr>
      <w:r>
        <w:t xml:space="preserve">Base de datos </w:t>
      </w:r>
      <w:r>
        <w:rPr>
          <w:rFonts w:ascii="Consolas" w:hAnsi="Consolas" w:eastAsia="Consolas"/>
          <w:color w:val="9F1239"/>
          <w:sz w:val="20"/>
        </w:rPr>
        <w:t>meax_db</w:t>
      </w:r>
      <w:r>
        <w:t xml:space="preserve"> en </w:t>
      </w:r>
      <w:r>
        <w:rPr>
          <w:rFonts w:ascii="Consolas" w:hAnsi="Consolas" w:eastAsia="Consolas"/>
          <w:color w:val="9F1239"/>
          <w:sz w:val="20"/>
        </w:rPr>
        <w:t>10.228.25.66</w:t>
      </w:r>
      <w:r>
        <w:t xml:space="preserve">. El vínculo </w:t>
      </w:r>
      <w:r>
        <w:rPr>
          <w:rFonts w:ascii="Consolas" w:hAnsi="Consolas" w:eastAsia="Consolas"/>
          <w:color w:val="9F1239"/>
          <w:sz w:val="20"/>
        </w:rPr>
        <w:t>EBSDB</w:t>
      </w:r>
      <w:r>
        <w:t xml:space="preserve"> (Oracle EBS) existe en ese servidor pero la aplicación </w:t>
      </w:r>
      <w:r>
        <w:rPr>
          <w:b/>
        </w:rPr>
        <w:t>no</w:t>
      </w:r>
      <w:r>
        <w:t xml:space="preserve"> lo usa.</w:t>
      </w:r>
    </w:p>
    <w:p>
      <w:pPr>
        <w:pStyle w:val="ListBullet"/>
        <w:spacing w:after="40"/>
      </w:pPr>
      <w:r>
        <w:t xml:space="preserve">ASP.NET Core Module informa el </w:t>
      </w:r>
      <w:r>
        <w:rPr>
          <w:rFonts w:ascii="Consolas" w:hAnsi="Consolas" w:eastAsia="Consolas"/>
          <w:color w:val="9F1239"/>
          <w:sz w:val="20"/>
        </w:rPr>
        <w:t>PathBase</w:t>
      </w:r>
      <w:r>
        <w:t xml:space="preserve"> automáticamente; no se usa </w:t>
      </w:r>
      <w:r>
        <w:rPr>
          <w:rFonts w:ascii="Consolas" w:hAnsi="Consolas" w:eastAsia="Consolas"/>
          <w:color w:val="9F1239"/>
          <w:sz w:val="20"/>
        </w:rPr>
        <w:t>UsePathBase</w:t>
      </w:r>
      <w:r>
        <w:t xml:space="preserve"> en código.</w:t>
      </w:r>
    </w:p>
    <w:p>
      <w:pPr>
        <w:pStyle w:val="Heading2"/>
      </w:pPr>
      <w:r>
        <w:t>12.2 Reglas para que funcione bajo un PathBase</w:t>
      </w:r>
    </w:p>
    <w:p>
      <w:pPr>
        <w:pStyle w:val="ListBullet"/>
        <w:spacing w:after="40"/>
      </w:pPr>
      <w:r>
        <w:t xml:space="preserve">Enlaces y </w:t>
      </w:r>
      <w:r>
        <w:rPr>
          <w:rFonts w:ascii="Consolas" w:hAnsi="Consolas" w:eastAsia="Consolas"/>
          <w:color w:val="9F1239"/>
          <w:sz w:val="20"/>
        </w:rPr>
        <w:t>NavigateTo</w:t>
      </w:r>
      <w:r>
        <w:t xml:space="preserve"> </w:t>
      </w:r>
      <w:r>
        <w:rPr>
          <w:b/>
        </w:rPr>
        <w:t xml:space="preserve">sin </w:t>
      </w:r>
      <w:r>
        <w:rPr>
          <w:rFonts w:ascii="Consolas" w:hAnsi="Consolas" w:eastAsia="Consolas"/>
          <w:color w:val="9F1239"/>
          <w:sz w:val="20"/>
        </w:rPr>
        <w:t>/</w:t>
      </w:r>
      <w:r>
        <w:rPr>
          <w:b/>
        </w:rPr>
        <w:t xml:space="preserve"> inicial</w:t>
      </w:r>
      <w:r>
        <w:t xml:space="preserve"> (relativos al </w:t>
      </w:r>
      <w:r>
        <w:rPr>
          <w:rFonts w:ascii="Consolas" w:hAnsi="Consolas" w:eastAsia="Consolas"/>
          <w:color w:val="9F1239"/>
          <w:sz w:val="20"/>
        </w:rPr>
        <w:t>&lt;base href&gt;</w:t>
      </w:r>
      <w:r>
        <w:t xml:space="preserve">); </w:t>
      </w:r>
      <w:r>
        <w:rPr>
          <w:rFonts w:ascii="Consolas" w:hAnsi="Consolas" w:eastAsia="Consolas"/>
          <w:color w:val="9F1239"/>
          <w:sz w:val="20"/>
        </w:rPr>
        <w:t>App.razor</w:t>
      </w:r>
      <w:r>
        <w:t xml:space="preserve"> calcula </w:t>
      </w:r>
      <w:r>
        <w:rPr>
          <w:rFonts w:ascii="Consolas" w:hAnsi="Consolas" w:eastAsia="Consolas"/>
          <w:color w:val="9F1239"/>
          <w:sz w:val="20"/>
        </w:rPr>
        <w:t>&lt;base href&gt;</w:t>
      </w:r>
      <w:r>
        <w:t xml:space="preserve"> con el </w:t>
      </w:r>
      <w:r>
        <w:rPr>
          <w:rFonts w:ascii="Consolas" w:hAnsi="Consolas" w:eastAsia="Consolas"/>
          <w:color w:val="9F1239"/>
          <w:sz w:val="20"/>
        </w:rPr>
        <w:t>PathBase</w:t>
      </w:r>
      <w:r>
        <w:t>.</w:t>
      </w:r>
    </w:p>
    <w:p>
      <w:pPr>
        <w:pStyle w:val="ListBullet"/>
        <w:spacing w:after="40"/>
      </w:pPr>
      <w:r>
        <w:t xml:space="preserve">En C#, redirecciones con </w:t>
      </w:r>
      <w:r>
        <w:rPr>
          <w:rFonts w:ascii="Consolas" w:hAnsi="Consolas" w:eastAsia="Consolas"/>
          <w:color w:val="9F1239"/>
          <w:sz w:val="20"/>
        </w:rPr>
        <w:t>Url.Content("~/...")</w:t>
      </w:r>
      <w:r>
        <w:t xml:space="preserve">; URLs absolutas incluyendo </w:t>
      </w:r>
      <w:r>
        <w:rPr>
          <w:rFonts w:ascii="Consolas" w:hAnsi="Consolas" w:eastAsia="Consolas"/>
          <w:color w:val="9F1239"/>
          <w:sz w:val="20"/>
        </w:rPr>
        <w:t>PathBase</w:t>
      </w:r>
      <w:r>
        <w:t>.</w:t>
      </w:r>
    </w:p>
    <w:p>
      <w:pPr>
        <w:pStyle w:val="ListBullet"/>
        <w:spacing w:after="40"/>
      </w:pPr>
      <w:r>
        <w:t>Las URLs de otros sistemas salen de configuración (</w:t>
      </w:r>
      <w:r>
        <w:rPr>
          <w:rFonts w:ascii="Consolas" w:hAnsi="Consolas" w:eastAsia="Consolas"/>
          <w:color w:val="9F1239"/>
          <w:sz w:val="20"/>
        </w:rPr>
        <w:t>Hub:BaseUrl</w:t>
      </w:r>
      <w:r>
        <w:t>).</w:t>
      </w:r>
    </w:p>
    <w:p>
      <w:pPr>
        <w:pStyle w:val="Heading2"/>
      </w:pPr>
      <w:r>
        <w:t>12.3 Procedimiento de publicación</w:t>
      </w:r>
    </w:p>
    <w:p>
      <w:pPr>
        <w:pStyle w:val="ListNumber"/>
        <w:spacing w:after="40"/>
      </w:pPr>
      <w:r>
        <w:t xml:space="preserve">Publicar desde Visual Studio con el perfil </w:t>
      </w:r>
      <w:r>
        <w:rPr>
          <w:rFonts w:ascii="Consolas" w:hAnsi="Consolas" w:eastAsia="Consolas"/>
          <w:color w:val="9F1239"/>
          <w:sz w:val="20"/>
        </w:rPr>
        <w:t>FolderProfile1</w:t>
      </w:r>
      <w:r>
        <w:t xml:space="preserve"> (</w:t>
      </w:r>
      <w:r>
        <w:rPr>
          <w:rFonts w:ascii="Consolas" w:hAnsi="Consolas" w:eastAsia="Consolas"/>
          <w:color w:val="9F1239"/>
          <w:sz w:val="20"/>
        </w:rPr>
        <w:t>DeleteExistingFiles=false</w:t>
      </w:r>
      <w:r>
        <w:t xml:space="preserve">) o con </w:t>
      </w:r>
      <w:r>
        <w:rPr>
          <w:rFonts w:ascii="Consolas" w:hAnsi="Consolas" w:eastAsia="Consolas"/>
          <w:color w:val="9F1239"/>
          <w:sz w:val="20"/>
        </w:rPr>
        <w:t>dotnet publish -c Release</w:t>
      </w:r>
      <w:r>
        <w:t xml:space="preserve">. Debe ser una </w:t>
      </w:r>
      <w:r>
        <w:rPr>
          <w:b/>
        </w:rPr>
        <w:t>publicación completa</w:t>
      </w:r>
      <w:r>
        <w:t xml:space="preserve">: una copia parcial deja fuera DLLs (por ejemplo </w:t>
      </w:r>
      <w:r>
        <w:rPr>
          <w:rFonts w:ascii="Consolas" w:hAnsi="Consolas" w:eastAsia="Consolas"/>
          <w:color w:val="9F1239"/>
          <w:sz w:val="20"/>
        </w:rPr>
        <w:t>System.IdentityModel.Tokens.Jwt.dll</w:t>
      </w:r>
      <w:r>
        <w:t>) y el sitio responde 500.</w:t>
      </w:r>
    </w:p>
    <w:p>
      <w:pPr>
        <w:pStyle w:val="ListNumber"/>
        <w:spacing w:after="40"/>
      </w:pPr>
      <w:r>
        <w:t>Aplicar migraciones pendientes (</w:t>
      </w:r>
      <w:r>
        <w:rPr>
          <w:rFonts w:ascii="Consolas" w:hAnsi="Consolas" w:eastAsia="Consolas"/>
          <w:color w:val="9F1239"/>
          <w:sz w:val="20"/>
        </w:rPr>
        <w:t>dotnet ef database update</w:t>
      </w:r>
      <w:r>
        <w:t xml:space="preserve">): en producción </w:t>
      </w:r>
      <w:r>
        <w:rPr>
          <w:b/>
        </w:rPr>
        <w:t>no</w:t>
      </w:r>
      <w:r>
        <w:t xml:space="preserve"> se aplican automáticamente (solo en Development).</w:t>
      </w:r>
    </w:p>
    <w:p>
      <w:pPr>
        <w:pStyle w:val="ListNumber"/>
        <w:spacing w:after="40"/>
      </w:pPr>
      <w:r>
        <w:t xml:space="preserve">Restablecer el permiso de escritura sobre </w:t>
      </w:r>
      <w:r>
        <w:rPr>
          <w:rFonts w:ascii="Consolas" w:hAnsi="Consolas" w:eastAsia="Consolas"/>
          <w:color w:val="9F1239"/>
          <w:sz w:val="20"/>
        </w:rPr>
        <w:t>wwwroot\uploads</w:t>
      </w:r>
      <w:r>
        <w:t xml:space="preserve"> (ver 12.4).</w:t>
      </w:r>
    </w:p>
    <w:p>
      <w:pPr>
        <w:pStyle w:val="ListNumber"/>
        <w:spacing w:after="40"/>
      </w:pPr>
      <w:r>
        <w:t>Verificar que las variables de entorno existan y reiniciar IIS si cambiaron.</w:t>
      </w:r>
    </w:p>
    <w:p>
      <w:pPr>
        <w:pStyle w:val="ListNumber"/>
        <w:spacing w:after="40"/>
      </w:pPr>
      <w:r>
        <w:t xml:space="preserve">Probar abriendo el sitio; ante un 500, revisar el </w:t>
      </w:r>
      <w:r>
        <w:rPr>
          <w:b/>
        </w:rPr>
        <w:t>Visor de eventos de Windows</w:t>
      </w:r>
      <w:r>
        <w:t xml:space="preserve"> (Aplicación, origen </w:t>
      </w:r>
      <w:r>
        <w:rPr>
          <w:rFonts w:ascii="Consolas" w:hAnsi="Consolas" w:eastAsia="Consolas"/>
          <w:color w:val="9F1239"/>
          <w:sz w:val="20"/>
        </w:rPr>
        <w:t>.NET Runtime</w:t>
      </w:r>
      <w:r>
        <w:t>/</w:t>
      </w:r>
      <w:r>
        <w:rPr>
          <w:rFonts w:ascii="Consolas" w:hAnsi="Consolas" w:eastAsia="Consolas"/>
          <w:color w:val="9F1239"/>
          <w:sz w:val="20"/>
        </w:rPr>
        <w:t>IIS AspNetCoreModuleV2</w:t>
      </w:r>
      <w:r>
        <w:t>).</w:t>
      </w:r>
    </w:p>
    <w:p>
      <w:pPr>
        <w:pStyle w:val="Heading2"/>
      </w:pPr>
      <w:r>
        <w:t xml:space="preserve">12.4 Permisos de </w:t>
      </w:r>
      <w:r>
        <w:rPr>
          <w:rFonts w:ascii="Consolas" w:hAnsi="Consolas" w:eastAsia="Consolas"/>
          <w:color w:val="9F1239"/>
          <w:sz w:val="20"/>
        </w:rPr>
        <w:t>uploads</w:t>
      </w:r>
    </w:p>
    <w:p>
      <w:r>
        <w:t xml:space="preserve">Con </w:t>
      </w:r>
      <w:r>
        <w:rPr>
          <w:rFonts w:ascii="Consolas" w:hAnsi="Consolas" w:eastAsia="Consolas"/>
          <w:color w:val="9F1239"/>
          <w:sz w:val="20"/>
        </w:rPr>
        <w:t>DeleteExistingFiles=false</w:t>
      </w:r>
      <w:r>
        <w:t xml:space="preserve"> (valor actual) las publicaciones conservan </w:t>
      </w:r>
      <w:r>
        <w:rPr>
          <w:rFonts w:ascii="Consolas" w:hAnsi="Consolas" w:eastAsia="Consolas"/>
          <w:color w:val="9F1239"/>
          <w:sz w:val="20"/>
        </w:rPr>
        <w:t>wwwroot\uploads</w:t>
      </w:r>
      <w:r>
        <w:t xml:space="preserve"> y su permiso. Si la carpeta se recrea (publicación con borrado, servidor nuevo), se pierde el permiso del App Pool y al subir archivos aparece "Access to the path ... is denied"; entonces ejecutar:</w:t>
      </w:r>
    </w:p>
    <w:p>
      <w:pPr>
        <w:spacing w:after="0"/>
        <w:ind w:left="227"/>
        <w:shd w:val="clear" w:color="auto" w:fill="EEF1F7"/>
      </w:pPr>
      <w:r>
        <w:rPr>
          <w:rFonts w:ascii="Consolas" w:hAnsi="Consolas" w:eastAsia="Consolas"/>
          <w:sz w:val="18"/>
        </w:rPr>
        <w:t>icacls "C:\inetpub\Services\ShippingRequest\wwwroot\uploads" /grant "IIS AppPool\&lt;NOMBRE_DEL_APP_POOL&gt;:(OI)(CI)M" /T</w:t>
      </w:r>
    </w:p>
    <w:p>
      <w:pPr>
        <w:spacing w:after="40"/>
      </w:pPr>
    </w:p>
    <w:p>
      <w:r>
        <w:t xml:space="preserve">Alternativa robusta (pendiente): mover </w:t>
      </w:r>
      <w:r>
        <w:rPr>
          <w:rFonts w:ascii="Consolas" w:hAnsi="Consolas" w:eastAsia="Consolas"/>
          <w:color w:val="9F1239"/>
          <w:sz w:val="20"/>
        </w:rPr>
        <w:t>uploads</w:t>
      </w:r>
      <w:r>
        <w:t xml:space="preserve"> fuera de </w:t>
      </w:r>
      <w:r>
        <w:rPr>
          <w:rFonts w:ascii="Consolas" w:hAnsi="Consolas" w:eastAsia="Consolas"/>
          <w:color w:val="9F1239"/>
          <w:sz w:val="20"/>
        </w:rPr>
        <w:t>wwwroot</w:t>
      </w:r>
      <w:r>
        <w:t xml:space="preserve"> y servirlo con un </w:t>
      </w:r>
      <w:r>
        <w:rPr>
          <w:rFonts w:ascii="Consolas" w:hAnsi="Consolas" w:eastAsia="Consolas"/>
          <w:color w:val="9F1239"/>
          <w:sz w:val="20"/>
        </w:rPr>
        <w:t>UseStaticFiles</w:t>
      </w:r>
      <w:r>
        <w:t xml:space="preserve"> propio.</w:t>
      </w:r>
    </w:p>
    <w:p>
      <w:pPr>
        <w:pStyle w:val="Heading2"/>
      </w:pPr>
      <w:r>
        <w:t>12.5 Perfiles de publicación</w:t>
      </w:r>
    </w:p>
    <w:p>
      <w:pPr>
        <w:pStyle w:val="ListBullet"/>
        <w:spacing w:after="40"/>
      </w:pPr>
      <w:r>
        <w:rPr>
          <w:rFonts w:ascii="Consolas" w:hAnsi="Consolas" w:eastAsia="Consolas"/>
          <w:color w:val="9F1239"/>
          <w:sz w:val="20"/>
        </w:rPr>
        <w:t>FolderProfile1.pubxml</w:t>
      </w:r>
      <w:r>
        <w:t xml:space="preserve"> → </w:t>
      </w:r>
      <w:r>
        <w:rPr>
          <w:rFonts w:ascii="Consolas" w:hAnsi="Consolas" w:eastAsia="Consolas"/>
          <w:color w:val="9F1239"/>
          <w:sz w:val="20"/>
        </w:rPr>
        <w:t>\\MEAXS066\inetpub\Services\ShippingRequest</w:t>
      </w:r>
      <w:r>
        <w:t xml:space="preserve">, </w:t>
      </w:r>
      <w:r>
        <w:rPr>
          <w:rFonts w:ascii="Consolas" w:hAnsi="Consolas" w:eastAsia="Consolas"/>
          <w:color w:val="9F1239"/>
          <w:sz w:val="20"/>
        </w:rPr>
        <w:t>DeleteExistingFiles=false</w:t>
      </w:r>
      <w:r>
        <w:t xml:space="preserve"> (</w:t>
      </w:r>
      <w:r>
        <w:rPr>
          <w:b/>
        </w:rPr>
        <w:t xml:space="preserve">no cambiar a </w:t>
      </w:r>
      <w:r>
        <w:rPr>
          <w:rFonts w:ascii="Consolas" w:hAnsi="Consolas" w:eastAsia="Consolas"/>
          <w:color w:val="9F1239"/>
          <w:sz w:val="20"/>
        </w:rPr>
        <w:t>true</w:t>
      </w:r>
      <w:r>
        <w:t xml:space="preserve">: borraría </w:t>
      </w:r>
      <w:r>
        <w:rPr>
          <w:rFonts w:ascii="Consolas" w:hAnsi="Consolas" w:eastAsia="Consolas"/>
          <w:color w:val="9F1239"/>
          <w:sz w:val="20"/>
        </w:rPr>
        <w:t>wwwroot\uploads</w:t>
      </w:r>
      <w:r>
        <w:t xml:space="preserve"> con todos los archivos subidos).</w:t>
      </w:r>
    </w:p>
    <w:p>
      <w:pPr>
        <w:pStyle w:val="ListBullet"/>
        <w:spacing w:after="40"/>
      </w:pPr>
      <w:r>
        <w:rPr>
          <w:rFonts w:ascii="Consolas" w:hAnsi="Consolas" w:eastAsia="Consolas"/>
          <w:color w:val="9F1239"/>
          <w:sz w:val="20"/>
        </w:rPr>
        <w:t>FolderProfile.pubxml</w:t>
      </w:r>
      <w:r>
        <w:t xml:space="preserve"> → </w:t>
      </w:r>
      <w:r>
        <w:rPr>
          <w:rFonts w:ascii="Consolas" w:hAnsi="Consolas" w:eastAsia="Consolas"/>
          <w:color w:val="9F1239"/>
          <w:sz w:val="20"/>
        </w:rPr>
        <w:t>\\meaxs013\inetpub\shippingRequest</w:t>
      </w:r>
      <w:r>
        <w:t xml:space="preserve">, </w:t>
      </w:r>
      <w:r>
        <w:rPr>
          <w:rFonts w:ascii="Consolas" w:hAnsi="Consolas" w:eastAsia="Consolas"/>
          <w:color w:val="9F1239"/>
          <w:sz w:val="20"/>
        </w:rPr>
        <w:t>DeleteExistingFiles=false</w:t>
      </w:r>
      <w:r>
        <w:t xml:space="preserve"> (apunta al servidor anterior; no usar).</w:t>
      </w:r>
    </w:p>
    <w:p>
      <w:pPr>
        <w:pStyle w:val="Heading1"/>
      </w:pPr>
      <w:r>
        <w:t>13. Desarrollo local</w:t>
      </w:r>
    </w:p>
    <w:p>
      <w:pPr>
        <w:pStyle w:val="ListNumber"/>
        <w:spacing w:after="40"/>
      </w:pPr>
      <w:r>
        <w:t xml:space="preserve">Requisitos: SDK de .NET 8 (o superior), acceso a SQL Server </w:t>
      </w:r>
      <w:r>
        <w:rPr>
          <w:rFonts w:ascii="Consolas" w:hAnsi="Consolas" w:eastAsia="Consolas"/>
          <w:color w:val="9F1239"/>
          <w:sz w:val="20"/>
        </w:rPr>
        <w:t>10.228.25.66</w:t>
      </w:r>
      <w:r>
        <w:t xml:space="preserve"> y las variables de entorno </w:t>
      </w:r>
      <w:r>
        <w:rPr>
          <w:rFonts w:ascii="Consolas" w:hAnsi="Consolas" w:eastAsia="Consolas"/>
          <w:color w:val="9F1239"/>
          <w:sz w:val="20"/>
        </w:rPr>
        <w:t>ConnectionStrings__MeaxDb</w:t>
      </w:r>
      <w:r>
        <w:t xml:space="preserve"> (o </w:t>
      </w:r>
      <w:r>
        <w:rPr>
          <w:rFonts w:ascii="Consolas" w:hAnsi="Consolas" w:eastAsia="Consolas"/>
          <w:color w:val="9F1239"/>
          <w:sz w:val="20"/>
        </w:rPr>
        <w:t>...DefaultConnection</w:t>
      </w:r>
      <w:r>
        <w:t>) definidas.</w:t>
      </w:r>
    </w:p>
    <w:p>
      <w:pPr>
        <w:pStyle w:val="ListNumber"/>
        <w:spacing w:after="40"/>
      </w:pPr>
      <w:r>
        <w:t xml:space="preserve">Ejecutar: </w:t>
      </w:r>
      <w:r>
        <w:rPr>
          <w:rFonts w:ascii="Consolas" w:hAnsi="Consolas" w:eastAsia="Consolas"/>
          <w:color w:val="9F1239"/>
          <w:sz w:val="20"/>
        </w:rPr>
        <w:t>dotnet run</w:t>
      </w:r>
      <w:r>
        <w:t xml:space="preserve"> (perfil </w:t>
      </w:r>
      <w:r>
        <w:rPr>
          <w:rFonts w:ascii="Consolas" w:hAnsi="Consolas" w:eastAsia="Consolas"/>
          <w:color w:val="9F1239"/>
          <w:sz w:val="20"/>
        </w:rPr>
        <w:t>http</w:t>
      </w:r>
      <w:r>
        <w:t xml:space="preserve"> → </w:t>
      </w:r>
      <w:r>
        <w:rPr>
          <w:rFonts w:ascii="Consolas" w:hAnsi="Consolas" w:eastAsia="Consolas"/>
          <w:color w:val="9F1239"/>
          <w:sz w:val="20"/>
        </w:rPr>
        <w:t>http://localhost:5231</w:t>
      </w:r>
      <w:r>
        <w:t xml:space="preserve">) o el perfil de </w:t>
      </w:r>
      <w:r>
        <w:rPr>
          <w:rFonts w:ascii="Consolas" w:hAnsi="Consolas" w:eastAsia="Consolas"/>
          <w:color w:val="9F1239"/>
          <w:sz w:val="20"/>
        </w:rPr>
        <w:t>.claude/launch.json</w:t>
      </w:r>
      <w:r>
        <w:t>.</w:t>
      </w:r>
    </w:p>
    <w:p>
      <w:pPr>
        <w:pStyle w:val="ListNumber"/>
        <w:spacing w:after="40"/>
      </w:pPr>
      <w:r>
        <w:t xml:space="preserve">Iniciar sesión en </w:t>
      </w:r>
      <w:r>
        <w:rPr>
          <w:rFonts w:ascii="Consolas" w:hAnsi="Consolas" w:eastAsia="Consolas"/>
          <w:color w:val="9F1239"/>
          <w:sz w:val="20"/>
        </w:rPr>
        <w:t>/login</w:t>
      </w:r>
      <w:r>
        <w:t xml:space="preserve"> con el usuario de </w:t>
      </w:r>
      <w:r>
        <w:rPr>
          <w:rFonts w:ascii="Consolas" w:hAnsi="Consolas" w:eastAsia="Consolas"/>
          <w:color w:val="9F1239"/>
          <w:sz w:val="20"/>
        </w:rPr>
        <w:t>Auth:DevUser</w:t>
      </w:r>
      <w:r>
        <w:t xml:space="preserve"> (por omisión </w:t>
      </w:r>
      <w:r>
        <w:rPr>
          <w:rFonts w:ascii="Consolas" w:hAnsi="Consolas" w:eastAsia="Consolas"/>
          <w:color w:val="9F1239"/>
          <w:sz w:val="20"/>
        </w:rPr>
        <w:t>KK51583</w:t>
      </w:r>
      <w:r>
        <w:t xml:space="preserve">) y la contraseña </w:t>
      </w:r>
      <w:r>
        <w:rPr>
          <w:rFonts w:ascii="Consolas" w:hAnsi="Consolas" w:eastAsia="Consolas"/>
          <w:color w:val="9F1239"/>
          <w:sz w:val="20"/>
        </w:rPr>
        <w:t>dev</w:t>
      </w:r>
      <w:r>
        <w:t>.</w:t>
      </w:r>
    </w:p>
    <w:p>
      <w:pPr>
        <w:pStyle w:val="ListNumber"/>
        <w:spacing w:after="40"/>
      </w:pPr>
      <w:r>
        <w:t xml:space="preserve">En Development la aplicación ejecuta </w:t>
      </w:r>
      <w:r>
        <w:rPr>
          <w:rFonts w:ascii="Consolas" w:hAnsi="Consolas" w:eastAsia="Consolas"/>
          <w:color w:val="9F1239"/>
          <w:sz w:val="20"/>
        </w:rPr>
        <w:t>Database.Migrate()</w:t>
      </w:r>
      <w:r>
        <w:t xml:space="preserve"> al arrancar (cuidado: apunta a la misma base compartida).</w:t>
      </w:r>
    </w:p>
    <w:p>
      <w:pPr>
        <w:pStyle w:val="ListNumber"/>
        <w:spacing w:after="40"/>
      </w:pPr>
      <w:r>
        <w:t xml:space="preserve">Migraciones: </w:t>
      </w:r>
      <w:r>
        <w:rPr>
          <w:rFonts w:ascii="Consolas" w:hAnsi="Consolas" w:eastAsia="Consolas"/>
          <w:color w:val="9F1239"/>
          <w:sz w:val="20"/>
        </w:rPr>
        <w:t>dotnet ef migrations add &lt;Nombre&gt;</w:t>
      </w:r>
      <w:r>
        <w:t xml:space="preserve"> y </w:t>
      </w:r>
      <w:r>
        <w:rPr>
          <w:rFonts w:ascii="Consolas" w:hAnsi="Consolas" w:eastAsia="Consolas"/>
          <w:color w:val="9F1239"/>
          <w:sz w:val="20"/>
        </w:rPr>
        <w:t>dotnet ef database update</w:t>
      </w:r>
      <w:r>
        <w:t>.</w:t>
      </w:r>
    </w:p>
    <w:p>
      <w:r>
        <w:t xml:space="preserve">Migraciones existentes: </w:t>
      </w:r>
      <w:r>
        <w:rPr>
          <w:rFonts w:ascii="Consolas" w:hAnsi="Consolas" w:eastAsia="Consolas"/>
          <w:color w:val="9F1239"/>
          <w:sz w:val="20"/>
        </w:rPr>
        <w:t>InitialCreate</w:t>
      </w:r>
      <w:r>
        <w:t xml:space="preserve">, </w:t>
      </w:r>
      <w:r>
        <w:rPr>
          <w:rFonts w:ascii="Consolas" w:hAnsi="Consolas" w:eastAsia="Consolas"/>
          <w:color w:val="9F1239"/>
          <w:sz w:val="20"/>
        </w:rPr>
        <w:t>AddQuotesAndNewStatuses</w:t>
      </w:r>
      <w:r>
        <w:t xml:space="preserve">, </w:t>
      </w:r>
      <w:r>
        <w:rPr>
          <w:rFonts w:ascii="Consolas" w:hAnsi="Consolas" w:eastAsia="Consolas"/>
          <w:color w:val="9F1239"/>
          <w:sz w:val="20"/>
        </w:rPr>
        <w:t>AddQuotesAndStaffFields</w:t>
      </w:r>
      <w:r>
        <w:t xml:space="preserve">, </w:t>
      </w:r>
      <w:r>
        <w:rPr>
          <w:rFonts w:ascii="Consolas" w:hAnsi="Consolas" w:eastAsia="Consolas"/>
          <w:color w:val="9F1239"/>
          <w:sz w:val="20"/>
        </w:rPr>
        <w:t>AddTradeStaffApprovalStatus</w:t>
      </w:r>
      <w:r>
        <w:t xml:space="preserve">, </w:t>
      </w:r>
      <w:r>
        <w:rPr>
          <w:rFonts w:ascii="Consolas" w:hAnsi="Consolas" w:eastAsia="Consolas"/>
          <w:color w:val="9F1239"/>
          <w:sz w:val="20"/>
        </w:rPr>
        <w:t>AddQuoteFilePath</w:t>
      </w:r>
      <w:r>
        <w:t xml:space="preserve">, </w:t>
      </w:r>
      <w:r>
        <w:rPr>
          <w:rFonts w:ascii="Consolas" w:hAnsi="Consolas" w:eastAsia="Consolas"/>
          <w:color w:val="9F1239"/>
          <w:sz w:val="20"/>
        </w:rPr>
        <w:t>AddPermissionsAndAdmins</w:t>
      </w:r>
      <w:r>
        <w:t xml:space="preserve"> (+</w:t>
      </w:r>
      <w:r>
        <w:rPr>
          <w:rFonts w:ascii="Consolas" w:hAnsi="Consolas" w:eastAsia="Consolas"/>
          <w:color w:val="9F1239"/>
          <w:sz w:val="20"/>
        </w:rPr>
        <w:t>2</w:t>
      </w:r>
      <w:r>
        <w:t xml:space="preserve">), </w:t>
      </w:r>
      <w:r>
        <w:rPr>
          <w:rFonts w:ascii="Consolas" w:hAnsi="Consolas" w:eastAsia="Consolas"/>
          <w:color w:val="9F1239"/>
          <w:sz w:val="20"/>
        </w:rPr>
        <w:t>AddFoliosAndCounter</w:t>
      </w:r>
      <w:r>
        <w:t xml:space="preserve">, </w:t>
      </w:r>
      <w:r>
        <w:rPr>
          <w:rFonts w:ascii="Consolas" w:hAnsi="Consolas" w:eastAsia="Consolas"/>
          <w:color w:val="9F1239"/>
          <w:sz w:val="20"/>
        </w:rPr>
        <w:t>AddFleteEvidenciaCatalogoBorrador</w:t>
      </w:r>
      <w:r>
        <w:t xml:space="preserve">, </w:t>
      </w:r>
      <w:r>
        <w:rPr>
          <w:rFonts w:ascii="Consolas" w:hAnsi="Consolas" w:eastAsia="Consolas"/>
          <w:color w:val="9F1239"/>
          <w:sz w:val="20"/>
        </w:rPr>
        <w:t>AddNationalCategoryAndCooDocument</w:t>
      </w:r>
      <w:r>
        <w:t xml:space="preserve">, </w:t>
      </w:r>
      <w:r>
        <w:rPr>
          <w:rFonts w:ascii="Consolas" w:hAnsi="Consolas" w:eastAsia="Consolas"/>
          <w:color w:val="9F1239"/>
          <w:sz w:val="20"/>
        </w:rPr>
        <w:t>RemoveItemGrossWeightDims</w:t>
      </w:r>
      <w:r>
        <w:t xml:space="preserve">, </w:t>
      </w:r>
      <w:r>
        <w:rPr>
          <w:rFonts w:ascii="Consolas" w:hAnsi="Consolas" w:eastAsia="Consolas"/>
          <w:color w:val="9F1239"/>
          <w:sz w:val="20"/>
        </w:rPr>
        <w:t>AddCustomerCatalog</w:t>
      </w:r>
      <w:r>
        <w:t xml:space="preserve"> (incluye la carga inicial de 86 clientes), </w:t>
      </w:r>
      <w:r>
        <w:rPr>
          <w:rFonts w:ascii="Consolas" w:hAnsi="Consolas" w:eastAsia="Consolas"/>
          <w:color w:val="9F1239"/>
          <w:sz w:val="20"/>
        </w:rPr>
        <w:t>MakeOperationTypeNullable</w:t>
      </w:r>
      <w:r>
        <w:t xml:space="preserve"> (Tipo de Operación vacío hasta que lo elige Trade Staff).</w:t>
      </w:r>
    </w:p>
    <w:p>
      <w:pPr>
        <w:pStyle w:val="Heading1"/>
      </w:pPr>
      <w:r>
        <w:t>14. Convenciones y trampas conocidas</w:t>
      </w:r>
    </w:p>
    <w:p>
      <w:pPr>
        <w:pStyle w:val="ListBullet"/>
        <w:spacing w:after="40"/>
      </w:pPr>
      <w:r>
        <w:rPr>
          <w:b/>
        </w:rPr>
        <w:t>No reordenar enums</w:t>
      </w:r>
      <w:r>
        <w:t xml:space="preserve"> con datos guardados (ver 4.5).</w:t>
      </w:r>
    </w:p>
    <w:p>
      <w:pPr>
        <w:pStyle w:val="ListBullet"/>
        <w:spacing w:after="40"/>
      </w:pPr>
      <w:r>
        <w:rPr>
          <w:rFonts w:ascii="Consolas" w:hAnsi="Consolas" w:eastAsia="Consolas"/>
          <w:color w:val="9F1239"/>
          <w:sz w:val="20"/>
        </w:rPr>
        <w:t>blazor.web.js</w:t>
      </w:r>
      <w:r>
        <w:rPr>
          <w:b/>
        </w:rPr>
        <w:t xml:space="preserve"> debe ser público:</w:t>
      </w:r>
      <w:r>
        <w:t xml:space="preserve"> no gatear </w:t>
      </w:r>
      <w:r>
        <w:rPr>
          <w:rFonts w:ascii="Consolas" w:hAnsi="Consolas" w:eastAsia="Consolas"/>
          <w:color w:val="9F1239"/>
          <w:sz w:val="20"/>
        </w:rPr>
        <w:t>MapRazorComponents</w:t>
      </w:r>
      <w:r>
        <w:t xml:space="preserve"> con </w:t>
      </w:r>
      <w:r>
        <w:rPr>
          <w:rFonts w:ascii="Consolas" w:hAnsi="Consolas" w:eastAsia="Consolas"/>
          <w:color w:val="9F1239"/>
          <w:sz w:val="20"/>
        </w:rPr>
        <w:t>RequireAuthorization()</w:t>
      </w:r>
      <w:r>
        <w:t xml:space="preserve"> ni con política de fallback.</w:t>
      </w:r>
    </w:p>
    <w:p>
      <w:pPr>
        <w:pStyle w:val="ListBullet"/>
        <w:spacing w:after="40"/>
      </w:pPr>
      <w:r>
        <w:rPr>
          <w:b/>
        </w:rPr>
        <w:t xml:space="preserve">Deadlock con </w:t>
      </w:r>
      <w:r>
        <w:rPr>
          <w:rFonts w:ascii="Consolas" w:hAnsi="Consolas" w:eastAsia="Consolas"/>
          <w:color w:val="9F1239"/>
          <w:sz w:val="20"/>
        </w:rPr>
        <w:t>CurrentUser.Email</w:t>
      </w:r>
      <w:r>
        <w:rPr>
          <w:b/>
        </w:rPr>
        <w:t>:</w:t>
      </w:r>
      <w:r>
        <w:t xml:space="preserve"> resuelve contra la base de datos; llamarlo de forma síncrona dentro de </w:t>
      </w:r>
      <w:r>
        <w:rPr>
          <w:rFonts w:ascii="Consolas" w:hAnsi="Consolas" w:eastAsia="Consolas"/>
          <w:color w:val="9F1239"/>
          <w:sz w:val="20"/>
        </w:rPr>
        <w:t>OnInitializedAsync</w:t>
      </w:r>
      <w:r>
        <w:t xml:space="preserve"> bloquea el contexto de Blazor. La propiedad usa </w:t>
      </w:r>
      <w:r>
        <w:rPr>
          <w:rFonts w:ascii="Consolas" w:hAnsi="Consolas" w:eastAsia="Consolas"/>
          <w:color w:val="9F1239"/>
          <w:sz w:val="20"/>
        </w:rPr>
        <w:t>Task.Run</w:t>
      </w:r>
      <w:r>
        <w:t xml:space="preserve">; en código nuevo preferir </w:t>
      </w:r>
      <w:r>
        <w:rPr>
          <w:rFonts w:ascii="Consolas" w:hAnsi="Consolas" w:eastAsia="Consolas"/>
          <w:color w:val="9F1239"/>
          <w:sz w:val="20"/>
        </w:rPr>
        <w:t>await CurrentUser.GetEmailAsync()</w:t>
      </w:r>
      <w:r>
        <w:t>.</w:t>
      </w:r>
    </w:p>
    <w:p>
      <w:pPr>
        <w:pStyle w:val="ListBullet"/>
        <w:spacing w:after="40"/>
      </w:pPr>
      <w:r>
        <w:rPr>
          <w:b/>
        </w:rPr>
        <w:t>Archivos:</w:t>
      </w:r>
      <w:r>
        <w:t xml:space="preserve"> leer el </w:t>
      </w:r>
      <w:r>
        <w:rPr>
          <w:rFonts w:ascii="Consolas" w:hAnsi="Consolas" w:eastAsia="Consolas"/>
          <w:color w:val="9F1239"/>
          <w:sz w:val="20"/>
        </w:rPr>
        <w:t>IBrowserFile</w:t>
      </w:r>
      <w:r>
        <w:t xml:space="preserve"> en el mismo handler de </w:t>
      </w:r>
      <w:r>
        <w:rPr>
          <w:rFonts w:ascii="Consolas" w:hAnsi="Consolas" w:eastAsia="Consolas"/>
          <w:color w:val="9F1239"/>
          <w:sz w:val="20"/>
        </w:rPr>
        <w:t>OnChange</w:t>
      </w:r>
      <w:r>
        <w:t xml:space="preserve"> (ver sección 9).</w:t>
      </w:r>
    </w:p>
    <w:p>
      <w:pPr>
        <w:pStyle w:val="ListBullet"/>
        <w:spacing w:after="40"/>
      </w:pPr>
      <w:r>
        <w:rPr>
          <w:rFonts w:ascii="Consolas" w:hAnsi="Consolas" w:eastAsia="Consolas"/>
          <w:color w:val="9F1239"/>
          <w:sz w:val="20"/>
        </w:rPr>
        <w:t>Jwt:Secret</w:t>
      </w:r>
      <w:r>
        <w:rPr>
          <w:b/>
        </w:rPr>
        <w:t xml:space="preserve"> ≥ 32 bytes:</w:t>
      </w:r>
      <w:r>
        <w:t xml:space="preserve"> con uno más corto la validación falla en cada request y el síntoma es un bucle silencioso hacia </w:t>
      </w:r>
      <w:r>
        <w:rPr>
          <w:rFonts w:ascii="Consolas" w:hAnsi="Consolas" w:eastAsia="Consolas"/>
          <w:color w:val="9F1239"/>
          <w:sz w:val="20"/>
        </w:rPr>
        <w:t>/auth/sso</w:t>
      </w:r>
      <w:r>
        <w:t>; la app lo valida al arrancar.</w:t>
      </w:r>
    </w:p>
    <w:p>
      <w:pPr>
        <w:pStyle w:val="ListBullet"/>
        <w:spacing w:after="40"/>
      </w:pPr>
      <w:r>
        <w:rPr>
          <w:b/>
        </w:rPr>
        <w:t xml:space="preserve">Rutas con </w:t>
      </w:r>
      <w:r>
        <w:rPr>
          <w:rFonts w:ascii="Consolas" w:hAnsi="Consolas" w:eastAsia="Consolas"/>
          <w:color w:val="9F1239"/>
          <w:sz w:val="20"/>
        </w:rPr>
        <w:t>PathBase</w:t>
      </w:r>
      <w:r>
        <w:rPr>
          <w:b/>
        </w:rPr>
        <w:t>:</w:t>
      </w:r>
      <w:r>
        <w:t xml:space="preserve"> nunca escribir </w:t>
      </w:r>
      <w:r>
        <w:rPr>
          <w:rFonts w:ascii="Consolas" w:hAnsi="Consolas" w:eastAsia="Consolas"/>
          <w:color w:val="9F1239"/>
          <w:sz w:val="20"/>
        </w:rPr>
        <w:t>href="/..."</w:t>
      </w:r>
      <w:r>
        <w:t xml:space="preserve"> ni </w:t>
      </w:r>
      <w:r>
        <w:rPr>
          <w:rFonts w:ascii="Consolas" w:hAnsi="Consolas" w:eastAsia="Consolas"/>
          <w:color w:val="9F1239"/>
          <w:sz w:val="20"/>
        </w:rPr>
        <w:t>NavigateTo("/...")</w:t>
      </w:r>
      <w:r>
        <w:t>.</w:t>
      </w:r>
    </w:p>
    <w:p>
      <w:pPr>
        <w:pStyle w:val="ListBullet"/>
        <w:spacing w:after="40"/>
      </w:pPr>
      <w:r>
        <w:rPr>
          <w:b/>
        </w:rPr>
        <w:t>Estilos:</w:t>
      </w:r>
      <w:r>
        <w:t xml:space="preserve"> </w:t>
      </w:r>
      <w:r>
        <w:rPr>
          <w:rFonts w:ascii="Consolas" w:hAnsi="Consolas" w:eastAsia="Consolas"/>
          <w:color w:val="9F1239"/>
          <w:sz w:val="20"/>
        </w:rPr>
        <w:t>box-sizing: border-box</w:t>
      </w:r>
      <w:r>
        <w:t xml:space="preserve"> global en </w:t>
      </w:r>
      <w:r>
        <w:rPr>
          <w:rFonts w:ascii="Consolas" w:hAnsi="Consolas" w:eastAsia="Consolas"/>
          <w:color w:val="9F1239"/>
          <w:sz w:val="20"/>
        </w:rPr>
        <w:t>app.css</w:t>
      </w:r>
      <w:r>
        <w:t xml:space="preserve"> (la plantilla MEAX One lo asume); no hay emojis decorativos ni morado en la UI.</w:t>
      </w:r>
    </w:p>
    <w:p>
      <w:pPr>
        <w:pStyle w:val="ListBullet"/>
        <w:spacing w:after="40"/>
      </w:pPr>
      <w:r>
        <w:rPr>
          <w:rFonts w:ascii="Consolas" w:hAnsi="Consolas" w:eastAsia="Consolas"/>
          <w:color w:val="9F1239"/>
          <w:sz w:val="20"/>
        </w:rPr>
        <w:t>meaxone-template.css</w:t>
      </w:r>
      <w:r>
        <w:rPr>
          <w:b/>
        </w:rPr>
        <w:t xml:space="preserve"> y </w:t>
      </w:r>
      <w:r>
        <w:rPr>
          <w:rFonts w:ascii="Consolas" w:hAnsi="Consolas" w:eastAsia="Consolas"/>
          <w:color w:val="9F1239"/>
          <w:sz w:val="20"/>
        </w:rPr>
        <w:t>meaxone-table.js</w:t>
      </w:r>
      <w:r>
        <w:t xml:space="preserve"> son de la plantilla MEAX One; no se modifican.</w:t>
      </w:r>
    </w:p>
    <w:p>
      <w:pPr>
        <w:pStyle w:val="Heading1"/>
      </w:pPr>
      <w:r>
        <w:t>15. Deuda técnica y riesgos conocidos</w:t>
      </w:r>
    </w:p>
    <w:p>
      <w:pPr>
        <w:pStyle w:val="ListNumber"/>
        <w:spacing w:after="40"/>
      </w:pPr>
      <w:r>
        <w:rPr>
          <w:b/>
        </w:rPr>
        <w:t>Aprobación fuera de orden.</w:t>
      </w:r>
      <w:r>
        <w:t xml:space="preserve"> </w:t>
      </w:r>
      <w:r>
        <w:rPr>
          <w:rFonts w:ascii="Consolas" w:hAnsi="Consolas" w:eastAsia="Consolas"/>
          <w:color w:val="9F1239"/>
          <w:sz w:val="20"/>
        </w:rPr>
        <w:t>RequestDetail</w:t>
      </w:r>
      <w:r>
        <w:t xml:space="preserve"> muestra "Aprobar/Rechazar" a quien tenga </w:t>
      </w:r>
      <w:r>
        <w:rPr>
          <w:i/>
        </w:rPr>
        <w:t>algún</w:t>
      </w:r>
      <w:r>
        <w:t xml:space="preserve"> paso incompleto asignado, y </w:t>
      </w:r>
      <w:r>
        <w:rPr>
          <w:rFonts w:ascii="Consolas" w:hAnsi="Consolas" w:eastAsia="Consolas"/>
          <w:color w:val="9F1239"/>
          <w:sz w:val="20"/>
        </w:rPr>
        <w:t>ProcessApprovalAsync</w:t>
      </w:r>
      <w:r>
        <w:t xml:space="preserve"> solo valida el email del paso, no que los pasos anteriores estén completos. Un usuario con un rol posterior podría aprobar antes de su turno (la pantalla Pendientes sí respeta el orden). Se recomienda validar el orden en el servicio.</w:t>
      </w:r>
    </w:p>
    <w:p>
      <w:pPr>
        <w:pStyle w:val="ListNumber"/>
        <w:spacing w:after="40"/>
      </w:pPr>
      <w:r>
        <w:rPr>
          <w:b/>
        </w:rPr>
        <w:t>Un solo aprobador por rol en la cadena formal.</w:t>
      </w:r>
      <w:r>
        <w:t xml:space="preserve"> </w:t>
      </w:r>
      <w:r>
        <w:rPr>
          <w:rFonts w:ascii="Consolas" w:hAnsi="Consolas" w:eastAsia="Consolas"/>
          <w:color w:val="9F1239"/>
          <w:sz w:val="20"/>
        </w:rPr>
        <w:t>BuildApprovalFlow</w:t>
      </w:r>
      <w:r>
        <w:t xml:space="preserve"> toma la primera persona activa de cada rol; no soporta varios aprobadores ni suplentes. La excepción es la captura de IGI/cotizaciones de Trade Staff (paso previo a la cadena), que ya puede hacerla cualquier persona con ese rol.</w:t>
      </w:r>
    </w:p>
    <w:p>
      <w:pPr>
        <w:pStyle w:val="ListNumber"/>
        <w:spacing w:after="40"/>
      </w:pPr>
      <w:r>
        <w:rPr>
          <w:b/>
        </w:rPr>
        <w:t>Correo a Finanzas sin configurar.</w:t>
      </w:r>
      <w:r>
        <w:t xml:space="preserve"> </w:t>
      </w:r>
      <w:r>
        <w:rPr>
          <w:rFonts w:ascii="Consolas" w:hAnsi="Consolas" w:eastAsia="Consolas"/>
          <w:color w:val="9F1239"/>
          <w:sz w:val="20"/>
        </w:rPr>
        <w:t>Smtp:Host</w:t>
      </w:r>
      <w:r>
        <w:t xml:space="preserve"> y </w:t>
      </w:r>
      <w:r>
        <w:rPr>
          <w:rFonts w:ascii="Consolas" w:hAnsi="Consolas" w:eastAsia="Consolas"/>
          <w:color w:val="9F1239"/>
          <w:sz w:val="20"/>
        </w:rPr>
        <w:t>Smtp:FinanceRecipients</w:t>
      </w:r>
      <w:r>
        <w:t xml:space="preserve"> están vacíos; mientras tanto el botón "Enviar a Finanzas" falla con mensaje controlado.</w:t>
      </w:r>
    </w:p>
    <w:p>
      <w:pPr>
        <w:pStyle w:val="ListNumber"/>
        <w:spacing w:after="40"/>
      </w:pPr>
      <w:r>
        <w:rPr>
          <w:b/>
        </w:rPr>
        <w:t>Umbral de Premium Freight fijo</w:t>
      </w:r>
      <w:r>
        <w:t xml:space="preserve"> (5,000 USD) en código (</w:t>
      </w:r>
      <w:r>
        <w:rPr>
          <w:rFonts w:ascii="Consolas" w:hAnsi="Consolas" w:eastAsia="Consolas"/>
          <w:color w:val="9F1239"/>
          <w:sz w:val="20"/>
        </w:rPr>
        <w:t>QuoteService</w:t>
      </w:r>
      <w:r>
        <w:t xml:space="preserve">, </w:t>
      </w:r>
      <w:r>
        <w:rPr>
          <w:rFonts w:ascii="Consolas" w:hAnsi="Consolas" w:eastAsia="Consolas"/>
          <w:color w:val="9F1239"/>
          <w:sz w:val="20"/>
        </w:rPr>
        <w:t>ShippingRequest.IsPremiumFreight</w:t>
      </w:r>
      <w:r>
        <w:t>).</w:t>
      </w:r>
    </w:p>
    <w:p>
      <w:pPr>
        <w:pStyle w:val="ListNumber"/>
        <w:spacing w:after="40"/>
      </w:pPr>
      <w:r>
        <w:rPr>
          <w:rFonts w:ascii="Consolas" w:hAnsi="Consolas" w:eastAsia="Consolas"/>
          <w:color w:val="9F1239"/>
          <w:sz w:val="20"/>
        </w:rPr>
        <w:t>uploads</w:t>
      </w:r>
      <w:r>
        <w:rPr>
          <w:b/>
        </w:rPr>
        <w:t xml:space="preserve"> dentro de </w:t>
      </w:r>
      <w:r>
        <w:rPr>
          <w:rFonts w:ascii="Consolas" w:hAnsi="Consolas" w:eastAsia="Consolas"/>
          <w:color w:val="9F1239"/>
          <w:sz w:val="20"/>
        </w:rPr>
        <w:t>wwwroot</w:t>
      </w:r>
      <w:r>
        <w:rPr>
          <w:b/>
        </w:rPr>
        <w:t>:</w:t>
      </w:r>
      <w:r>
        <w:t xml:space="preserve"> un publish con </w:t>
      </w:r>
      <w:r>
        <w:rPr>
          <w:rFonts w:ascii="Consolas" w:hAnsi="Consolas" w:eastAsia="Consolas"/>
          <w:color w:val="9F1239"/>
          <w:sz w:val="20"/>
        </w:rPr>
        <w:t>DeleteExistingFiles=true</w:t>
      </w:r>
      <w:r>
        <w:t xml:space="preserve"> borraría los archivos y el permiso del App Pool; no hay respaldo ni limpieza de archivos huérfanos.</w:t>
      </w:r>
    </w:p>
    <w:p>
      <w:pPr>
        <w:pStyle w:val="ListNumber"/>
        <w:spacing w:after="40"/>
      </w:pPr>
      <w:r>
        <w:rPr>
          <w:b/>
        </w:rPr>
        <w:t>Paquetes NuGet sin uso:</w:t>
      </w:r>
      <w:r>
        <w:t xml:space="preserve"> </w:t>
      </w:r>
      <w:r>
        <w:rPr>
          <w:rFonts w:ascii="Consolas" w:hAnsi="Consolas" w:eastAsia="Consolas"/>
          <w:color w:val="9F1239"/>
          <w:sz w:val="20"/>
        </w:rPr>
        <w:t>Microsoft.AspNetCore.Identity.EntityFrameworkCore</w:t>
      </w:r>
      <w:r>
        <w:t xml:space="preserve">, </w:t>
      </w:r>
      <w:r>
        <w:rPr>
          <w:rFonts w:ascii="Consolas" w:hAnsi="Consolas" w:eastAsia="Consolas"/>
          <w:color w:val="9F1239"/>
          <w:sz w:val="20"/>
        </w:rPr>
        <w:t>System.DirectoryServices</w:t>
      </w:r>
      <w:r>
        <w:t xml:space="preserve">, </w:t>
      </w:r>
      <w:r>
        <w:rPr>
          <w:rFonts w:ascii="Consolas" w:hAnsi="Consolas" w:eastAsia="Consolas"/>
          <w:color w:val="9F1239"/>
          <w:sz w:val="20"/>
        </w:rPr>
        <w:t>System.DirectoryServices.AccountManagement</w:t>
      </w:r>
      <w:r>
        <w:t xml:space="preserve"> y </w:t>
      </w:r>
      <w:r>
        <w:rPr>
          <w:rFonts w:ascii="Consolas" w:hAnsi="Consolas" w:eastAsia="Consolas"/>
          <w:color w:val="9F1239"/>
          <w:sz w:val="20"/>
        </w:rPr>
        <w:t>Microsoft.AspNetCore.Authentication.Cookies</w:t>
      </w:r>
      <w:r>
        <w:t xml:space="preserve"> 2.3.11 (la autenticación por AD se retiró al integrar Meax One).</w:t>
      </w:r>
    </w:p>
    <w:p>
      <w:pPr>
        <w:pStyle w:val="ListNumber"/>
        <w:spacing w:after="40"/>
      </w:pPr>
      <w:r>
        <w:rPr>
          <w:b/>
        </w:rPr>
        <w:t>Páginas de plantilla</w:t>
      </w:r>
      <w:r>
        <w:t xml:space="preserve"> </w:t>
      </w:r>
      <w:r>
        <w:rPr>
          <w:rFonts w:ascii="Consolas" w:hAnsi="Consolas" w:eastAsia="Consolas"/>
          <w:color w:val="9F1239"/>
          <w:sz w:val="20"/>
        </w:rPr>
        <w:t>Counter</w:t>
      </w:r>
      <w:r>
        <w:t xml:space="preserve"> y </w:t>
      </w:r>
      <w:r>
        <w:rPr>
          <w:rFonts w:ascii="Consolas" w:hAnsi="Consolas" w:eastAsia="Consolas"/>
          <w:color w:val="9F1239"/>
          <w:sz w:val="20"/>
        </w:rPr>
        <w:t>Weather</w:t>
      </w:r>
      <w:r>
        <w:t xml:space="preserve">, y </w:t>
      </w:r>
      <w:r>
        <w:rPr>
          <w:rFonts w:ascii="Consolas" w:hAnsi="Consolas" w:eastAsia="Consolas"/>
          <w:color w:val="9F1239"/>
          <w:sz w:val="20"/>
        </w:rPr>
        <w:t>wwwroot/favicon.png</w:t>
      </w:r>
      <w:r>
        <w:t xml:space="preserve"> heredado.</w:t>
      </w:r>
    </w:p>
    <w:p>
      <w:pPr>
        <w:pStyle w:val="ListNumber"/>
        <w:spacing w:after="40"/>
      </w:pPr>
      <w:r>
        <w:rPr>
          <w:b/>
        </w:rPr>
        <w:t>Catálogos solo para administradores.</w:t>
      </w:r>
      <w:r>
        <w:t xml:space="preserve"> Si Trade debe mantener el catálogo de clientes sin ser administrador, hay que ajustar el permiso de </w:t>
      </w:r>
      <w:r>
        <w:rPr>
          <w:rFonts w:ascii="Consolas" w:hAnsi="Consolas" w:eastAsia="Consolas"/>
          <w:color w:val="9F1239"/>
          <w:sz w:val="20"/>
        </w:rPr>
        <w:t>/admin/customers</w:t>
      </w:r>
      <w:r>
        <w:t>.</w:t>
      </w:r>
    </w:p>
    <w:p>
      <w:pPr>
        <w:pStyle w:val="ListNumber"/>
        <w:spacing w:after="40"/>
      </w:pPr>
      <w:r>
        <w:rPr>
          <w:b/>
        </w:rPr>
        <w:t>Secretos en el historial de git.</w:t>
      </w:r>
      <w:r>
        <w:t xml:space="preserve"> Una versión anterior de </w:t>
      </w:r>
      <w:r>
        <w:rPr>
          <w:rFonts w:ascii="Consolas" w:hAnsi="Consolas" w:eastAsia="Consolas"/>
          <w:color w:val="9F1239"/>
          <w:sz w:val="20"/>
        </w:rPr>
        <w:t>appsettings.json</w:t>
      </w:r>
      <w:r>
        <w:t xml:space="preserve"> (commit </w:t>
      </w:r>
      <w:r>
        <w:rPr>
          <w:rFonts w:ascii="Consolas" w:hAnsi="Consolas" w:eastAsia="Consolas"/>
          <w:color w:val="9F1239"/>
          <w:sz w:val="20"/>
        </w:rPr>
        <w:t>d23cb05</w:t>
      </w:r>
      <w:r>
        <w:t xml:space="preserve"> y el commit inicial) contiene la cadena de conexión y el secreto JWT. Si el repositorio se comparte fuera del equipo, rotarlos.</w:t>
      </w:r>
    </w:p>
    <w:p>
      <w:pPr>
        <w:pStyle w:val="ListNumber"/>
        <w:spacing w:after="40"/>
      </w:pPr>
      <w:r>
        <w:rPr>
          <w:b/>
        </w:rPr>
        <w:t>Integración con EBS no implementada.</w:t>
      </w:r>
      <w:r>
        <w:t xml:space="preserve"> Se evaluó traer el catálogo de clientes desde Oracle EBS: solo cubre parcialmente (53 de 86 clientes; RFC y moneda casi vacíos), por eso el catálogo de Trade es la fuente principal. Hay un vínculo </w:t>
      </w:r>
      <w:r>
        <w:rPr>
          <w:rFonts w:ascii="Consolas" w:hAnsi="Consolas" w:eastAsia="Consolas"/>
          <w:color w:val="9F1239"/>
          <w:sz w:val="20"/>
        </w:rPr>
        <w:t>EBSDB</w:t>
      </w:r>
      <w:r>
        <w:t xml:space="preserve"> disponible en </w:t>
      </w:r>
      <w:r>
        <w:rPr>
          <w:rFonts w:ascii="Consolas" w:hAnsi="Consolas" w:eastAsia="Consolas"/>
          <w:color w:val="9F1239"/>
          <w:sz w:val="20"/>
        </w:rPr>
        <w:t>meax_db</w:t>
      </w:r>
      <w:r>
        <w:t xml:space="preserve"> si se requiere después.</w:t>
      </w:r>
    </w:p>
    <w:p>
      <w:pPr>
        <w:pStyle w:val="ListNumber"/>
        <w:spacing w:after="40"/>
      </w:pPr>
      <w:r>
        <w:rPr>
          <w:b/>
        </w:rPr>
        <w:t>Sin pruebas automatizadas</w:t>
      </w:r>
      <w:r>
        <w:t xml:space="preserve"> en el repositorio.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Sistema de Solicitudes de Envío — Documentación Técnica · Página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Sistema de Solicitudes de Envío</dc:title>
  <dc:subject/>
  <dc:creator>MEAX — TI</dc:creator>
  <cp:keywords/>
  <dc:description>generated by python-docx</dc:description>
  <cp:lastModifiedBy/>
  <cp:revision>1</cp:revision>
  <dcterms:created xsi:type="dcterms:W3CDTF">2013-12-23T23:15:00Z</dcterms:created>
  <dcterms:modified xsi:type="dcterms:W3CDTF">2013-12-23T23:15:00Z</dcterms:modified>
  <cp:category/>
</cp:coreProperties>
</file>