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20" w:before="460" w:lineRule="auto"/>
        <w:jc w:val="center"/>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S1/L2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460" w:lineRule="auto"/>
        <w:jc w:val="center"/>
        <w:rPr>
          <w:rFonts w:ascii="Arial" w:cs="Arial" w:eastAsia="Arial" w:hAnsi="Arial"/>
          <w:color w:val="262626"/>
          <w:sz w:val="28"/>
          <w:szCs w:val="28"/>
        </w:rPr>
      </w:pPr>
      <w:r w:rsidDel="00000000" w:rsidR="00000000" w:rsidRPr="00000000">
        <w:rPr>
          <w:rFonts w:ascii="Arial" w:cs="Arial" w:eastAsia="Arial" w:hAnsi="Arial"/>
          <w:color w:val="262626"/>
          <w:sz w:val="28"/>
          <w:szCs w:val="28"/>
          <w:rtl w:val="0"/>
        </w:rPr>
        <w:t xml:space="preserve">Gruppo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rFonts w:ascii="Arial" w:cs="Arial" w:eastAsia="Arial" w:hAnsi="Arial"/>
          <w:color w:val="595959"/>
          <w:sz w:val="32"/>
          <w:szCs w:val="32"/>
        </w:rPr>
      </w:pPr>
      <w:r w:rsidDel="00000000" w:rsidR="00000000" w:rsidRPr="00000000">
        <w:rPr>
          <w:rFonts w:ascii="Arial" w:cs="Arial" w:eastAsia="Arial" w:hAnsi="Arial"/>
          <w:b w:val="1"/>
          <w:i w:val="1"/>
          <w:color w:val="595959"/>
          <w:sz w:val="32"/>
          <w:szCs w:val="32"/>
          <w:highlight w:val="yellow"/>
          <w:rtl w:val="0"/>
        </w:rPr>
        <w:t xml:space="preserve">FILM D’ESSAI</w:t>
      </w:r>
      <w:r w:rsidDel="00000000" w:rsidR="00000000" w:rsidRPr="00000000">
        <w:rPr>
          <w:rFonts w:ascii="Arial" w:cs="Arial" w:eastAsia="Arial" w:hAnsi="Arial"/>
          <w:color w:val="595959"/>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Testa Carlo</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Cautiero Mario</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Newgep Tchonang Vidalle</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right"/>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De Stefano Raffaele</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right"/>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Hamza Mahmoudi</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right"/>
        <w:rPr>
          <w:rFonts w:ascii="Arial" w:cs="Arial" w:eastAsia="Arial" w:hAnsi="Arial"/>
          <w:color w:val="595959"/>
          <w:sz w:val="24"/>
          <w:szCs w:val="24"/>
        </w:rPr>
      </w:pPr>
      <w:r w:rsidDel="00000000" w:rsidR="00000000" w:rsidRPr="00000000">
        <w:rPr>
          <w:rFonts w:ascii="Arial" w:cs="Arial" w:eastAsia="Arial" w:hAnsi="Arial"/>
          <w:b w:val="1"/>
          <w:i w:val="1"/>
          <w:color w:val="595959"/>
          <w:sz w:val="24"/>
          <w:szCs w:val="24"/>
          <w:rtl w:val="0"/>
        </w:rPr>
        <w:t xml:space="preserve">Balasca Bianca Ioana</w:t>
      </w:r>
      <w:r w:rsidDel="00000000" w:rsidR="00000000" w:rsidRPr="00000000">
        <w:rPr>
          <w:rFonts w:ascii="Arial" w:cs="Arial" w:eastAsia="Arial" w:hAnsi="Arial"/>
          <w:color w:val="595959"/>
          <w:sz w:val="24"/>
          <w:szCs w:val="24"/>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w:t>
      </w:r>
    </w:p>
    <w:p w:rsidR="00000000" w:rsidDel="00000000" w:rsidP="00000000" w:rsidRDefault="00000000" w:rsidRPr="00000000" w14:paraId="0000000C">
      <w:pPr>
        <w:rPr/>
      </w:pPr>
      <w:r w:rsidDel="00000000" w:rsidR="00000000" w:rsidRPr="00000000">
        <w:rPr>
          <w:u w:val="single"/>
          <w:rtl w:val="0"/>
        </w:rPr>
        <w:t xml:space="preserve">Dataset</w:t>
      </w:r>
      <w:r w:rsidDel="00000000" w:rsidR="00000000" w:rsidRPr="00000000">
        <w:rPr>
          <w:rtl w:val="0"/>
        </w:rPr>
        <w:t xml:space="preserve">: </w:t>
      </w:r>
      <w:hyperlink r:id="rId7">
        <w:r w:rsidDel="00000000" w:rsidR="00000000" w:rsidRPr="00000000">
          <w:rPr>
            <w:color w:val="0563c1"/>
            <w:u w:val="single"/>
            <w:rtl w:val="0"/>
          </w:rPr>
          <w:t xml:space="preserve">https://informationisbeautiful.net/visualizations/how-to-get-the-usa-to-carbon-netzero/#Solar</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u w:val="single"/>
          <w:rtl w:val="0"/>
        </w:rPr>
        <w:t xml:space="preserve">Fonte</w:t>
      </w:r>
      <w:r w:rsidDel="00000000" w:rsidR="00000000" w:rsidRPr="00000000">
        <w:rPr>
          <w:rtl w:val="0"/>
        </w:rPr>
        <w:t xml:space="preserve">: </w:t>
      </w:r>
      <w:hyperlink r:id="rId8">
        <w:r w:rsidDel="00000000" w:rsidR="00000000" w:rsidRPr="00000000">
          <w:rPr>
            <w:color w:val="0563c1"/>
            <w:u w:val="single"/>
            <w:rtl w:val="0"/>
          </w:rPr>
          <w:t xml:space="preserve">https://usafacts.org/</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Fonte probabilmente di parte.</w:t>
      </w: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Investimenti e donazioni di Steve</w:t>
      </w:r>
      <w:r w:rsidDel="00000000" w:rsidR="00000000" w:rsidRPr="00000000">
        <w:rPr>
          <w:u w:val="single"/>
          <w:rtl w:val="0"/>
        </w:rPr>
        <w:t xml:space="preserve"> Ballmer</w:t>
      </w:r>
      <w:r w:rsidDel="00000000" w:rsidR="00000000" w:rsidRPr="00000000">
        <w:rPr>
          <w:rtl w:val="0"/>
        </w:rPr>
        <w:t xml:space="preserve">: </w:t>
      </w:r>
      <w:hyperlink r:id="rId9">
        <w:r w:rsidDel="00000000" w:rsidR="00000000" w:rsidRPr="00000000">
          <w:rPr>
            <w:color w:val="0563c1"/>
            <w:u w:val="single"/>
            <w:rtl w:val="0"/>
          </w:rPr>
          <w:t xml:space="preserve">https://philanthropynewsdigest.org/news/ballmer-group-announces-217-million-in-climate-change-commitments#:~:text=Ballmer%20Group%20announces%20%24217%20million%20in%20climate%20change%20commitments,-October%2021%2C%202022&amp;text=Ballmer%20Group%20has%20announced%20an,seven%20grants%20totaling%20%24217%20million</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u w:val="single"/>
          <w:rtl w:val="0"/>
        </w:rPr>
        <w:t xml:space="preserve">Criticità</w:t>
      </w:r>
      <w:r w:rsidDel="00000000" w:rsidR="00000000" w:rsidRPr="00000000">
        <w:rPr>
          <w:rtl w:val="0"/>
        </w:rPr>
        <w:t xml:space="preserve">: Dati sulle proiezioni future sono incongruenti; grafico a quadrato con riempimento che potrebbe essere sostituito con una barra a riempimento; </w:t>
      </w:r>
    </w:p>
    <w:p w:rsidR="00000000" w:rsidDel="00000000" w:rsidP="00000000" w:rsidRDefault="00000000" w:rsidRPr="00000000" w14:paraId="00000011">
      <w:pPr>
        <w:rPr/>
      </w:pPr>
      <w:r w:rsidDel="00000000" w:rsidR="00000000" w:rsidRPr="00000000">
        <w:rPr>
          <w:rtl w:val="0"/>
        </w:rPr>
        <w:t xml:space="preserve">Scelto per il grafico geografico dove è possibile visualizzare in modo semplice la potenziale produzione solare ed eolica dei singoli stati (stati che essendo di grandezze e con flore diverse contribuiscono tutti in modo diverso)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p>
    <w:p w:rsidR="00000000" w:rsidDel="00000000" w:rsidP="00000000" w:rsidRDefault="00000000" w:rsidRPr="00000000" w14:paraId="00000014">
      <w:pPr>
        <w:rPr>
          <w:color w:val="0563c1"/>
          <w:u w:val="single"/>
        </w:rPr>
      </w:pPr>
      <w:r w:rsidDel="00000000" w:rsidR="00000000" w:rsidRPr="00000000">
        <w:rPr>
          <w:rtl w:val="0"/>
        </w:rPr>
        <w:t xml:space="preserve">Dataset: </w:t>
      </w:r>
      <w:hyperlink r:id="rId10">
        <w:r w:rsidDel="00000000" w:rsidR="00000000" w:rsidRPr="00000000">
          <w:rPr>
            <w:color w:val="0563c1"/>
            <w:u w:val="single"/>
            <w:rtl w:val="0"/>
          </w:rPr>
          <w:t xml:space="preserve">https://informationisbeautiful.net/visualizations/hollywood-2023-hits-flops/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Fonti: The Numbers e IMDB ;</w:t>
      </w:r>
    </w:p>
    <w:p w:rsidR="00000000" w:rsidDel="00000000" w:rsidP="00000000" w:rsidRDefault="00000000" w:rsidRPr="00000000" w14:paraId="00000016">
      <w:pPr>
        <w:rPr>
          <w:u w:val="single"/>
        </w:rPr>
      </w:pPr>
      <w:r w:rsidDel="00000000" w:rsidR="00000000" w:rsidRPr="00000000">
        <w:rPr>
          <w:u w:val="single"/>
          <w:rtl w:val="0"/>
        </w:rPr>
        <w:t xml:space="preserve">Fonti e affidabilità</w:t>
      </w:r>
    </w:p>
    <w:p w:rsidR="00000000" w:rsidDel="00000000" w:rsidP="00000000" w:rsidRDefault="00000000" w:rsidRPr="00000000" w14:paraId="00000017">
      <w:pPr>
        <w:rPr/>
      </w:pPr>
      <w:r w:rsidDel="00000000" w:rsidR="00000000" w:rsidRPr="00000000">
        <w:rPr>
          <w:rtl w:val="0"/>
        </w:rPr>
        <w:t xml:space="preserve">Nel delineare la panoramica del successo cinematografico nel 2023, la visualizzazione si è affidata a due fonti autorevoli: The Numbers e IMDB. The Numbers, un sito specializzato nell'analisi algoritmica delle entrate al botteghino, offre una visione sistematica dell'industria cinematografica. Allo stesso tempo, IMDB, di proprietà della colossale Amazon, costituisce un'esaustiva base di dati che abbraccia film, attori, registi, personale di produzione, recensioni, ecc.…</w:t>
      </w:r>
    </w:p>
    <w:p w:rsidR="00000000" w:rsidDel="00000000" w:rsidP="00000000" w:rsidRDefault="00000000" w:rsidRPr="00000000" w14:paraId="00000018">
      <w:pPr>
        <w:rPr>
          <w:u w:val="single"/>
        </w:rPr>
      </w:pPr>
      <w:r w:rsidDel="00000000" w:rsidR="00000000" w:rsidRPr="00000000">
        <w:rPr>
          <w:u w:val="single"/>
          <w:rtl w:val="0"/>
        </w:rPr>
        <w:t xml:space="preserve">Criticità e visualizzazione</w:t>
      </w:r>
    </w:p>
    <w:p w:rsidR="00000000" w:rsidDel="00000000" w:rsidP="00000000" w:rsidRDefault="00000000" w:rsidRPr="00000000" w14:paraId="00000019">
      <w:pPr>
        <w:rPr/>
      </w:pPr>
      <w:r w:rsidDel="00000000" w:rsidR="00000000" w:rsidRPr="00000000">
        <w:rPr>
          <w:rtl w:val="0"/>
        </w:rPr>
        <w:t xml:space="preserve">La visualizzazione crea un affascinante piano cartesiano, con la valutazione IMDB sull'asse x e il budget recuperato sull'asse y. Questo approccio fornisce un quadro immediato delle prestazioni dei film. Tuttavia, è importante notare che la presenza di numerosi film con valutazioni e budget recuperat simili potrebbe complicare l'analisi. L'accumulo di dati potrebbe, infatti, offuscare la chiarezza e la precisione delle conclusioni che possiamo estrarre </w:t>
      </w:r>
    </w:p>
    <w:p w:rsidR="00000000" w:rsidDel="00000000" w:rsidP="00000000" w:rsidRDefault="00000000" w:rsidRPr="00000000" w14:paraId="0000001A">
      <w:pPr>
        <w:rPr/>
      </w:pPr>
      <w:r w:rsidDel="00000000" w:rsidR="00000000" w:rsidRPr="00000000">
        <w:rPr>
          <w:u w:val="single"/>
          <w:rtl w:val="0"/>
        </w:rPr>
        <w:t xml:space="preserve">Perché la scelta:  </w:t>
        <w:br w:type="textWrapping"/>
      </w:r>
      <w:r w:rsidDel="00000000" w:rsidR="00000000" w:rsidRPr="00000000">
        <w:rPr>
          <w:rtl w:val="0"/>
        </w:rPr>
        <w:t xml:space="preserve"> </w:t>
        <w:br w:type="textWrapping"/>
        <w:t xml:space="preserve">tendenze di Mercato Cinematografico: Analizzando i successi e i fallimenti dei film rilasciati nel 2023, è possibile individuare tendenze di mercato. Queste informazioni possono essere utili per gli studios cinematografici nel prendere decisioni strategiche per futuri progetti, come la scelta di generi, attori o registi che sono popolari tra il pubblico. </w:t>
      </w:r>
    </w:p>
    <w:p w:rsidR="00000000" w:rsidDel="00000000" w:rsidP="00000000" w:rsidRDefault="00000000" w:rsidRPr="00000000" w14:paraId="0000001B">
      <w:pPr>
        <w:rPr/>
      </w:pPr>
      <w:r w:rsidDel="00000000" w:rsidR="00000000" w:rsidRPr="00000000">
        <w:rPr>
          <w:u w:val="single"/>
          <w:rtl w:val="0"/>
        </w:rPr>
        <w:t xml:space="preserve">Investimenti e Redditività</w:t>
      </w:r>
      <w:r w:rsidDel="00000000" w:rsidR="00000000" w:rsidRPr="00000000">
        <w:rPr>
          <w:rtl w:val="0"/>
        </w:rPr>
        <w:t xml:space="preserve">: Gli studios cinematografici investono considerevoli risorse nella produzione e promozione dei film. Analizzare i dati relativi al successo, al miglioramento e al ritorno sugli investimenti può aiutare a valutare l'efficacia delle strategie di marketing e produzione, nonché a identificare fattori chiave per il successo finanziario.</w:t>
      </w:r>
    </w:p>
    <w:p w:rsidR="00000000" w:rsidDel="00000000" w:rsidP="00000000" w:rsidRDefault="00000000" w:rsidRPr="00000000" w14:paraId="0000001C">
      <w:pPr>
        <w:rPr/>
      </w:pPr>
      <w:r w:rsidDel="00000000" w:rsidR="00000000" w:rsidRPr="00000000">
        <w:rPr>
          <w:u w:val="single"/>
          <w:rtl w:val="0"/>
        </w:rPr>
        <w:t xml:space="preserve">Previsioni di Tendenze Future:</w:t>
      </w:r>
      <w:r w:rsidDel="00000000" w:rsidR="00000000" w:rsidRPr="00000000">
        <w:rPr>
          <w:rtl w:val="0"/>
        </w:rPr>
        <w:t xml:space="preserve"> I dati sui film di successo e fallimenti possono essere utilizzati per fare previsioni sulle tendenze future dell'industria cinematografica.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u w:val="single"/>
          <w:rtl w:val="0"/>
        </w:rPr>
        <w:t xml:space="preserve">Dataset:</w:t>
      </w:r>
      <w:r w:rsidDel="00000000" w:rsidR="00000000" w:rsidRPr="00000000">
        <w:rPr>
          <w:rtl w:val="0"/>
        </w:rPr>
        <w:t xml:space="preserve"> </w:t>
      </w:r>
      <w:hyperlink r:id="rId11">
        <w:r w:rsidDel="00000000" w:rsidR="00000000" w:rsidRPr="00000000">
          <w:rPr>
            <w:color w:val="0563c1"/>
            <w:u w:val="single"/>
            <w:rtl w:val="0"/>
          </w:rPr>
          <w:t xml:space="preserve">https://informationisbeautiful.net/visualizations/a24-movie-browser/</w:t>
        </w:r>
      </w:hyperlink>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Fonti e criticità</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https://www.the-numbers.com/  </w:t>
        <w:br w:type="textWrapping"/>
        <w:t xml:space="preserve">https://www.rottentomatoes.com/ </w:t>
        <w:br w:type="textWrapping"/>
        <w:t xml:space="preserve">https://a24films.com/</w:t>
      </w:r>
    </w:p>
    <w:p w:rsidR="00000000" w:rsidDel="00000000" w:rsidP="00000000" w:rsidRDefault="00000000" w:rsidRPr="00000000" w14:paraId="00000022">
      <w:pPr>
        <w:rPr/>
      </w:pPr>
      <w:r w:rsidDel="00000000" w:rsidR="00000000" w:rsidRPr="00000000">
        <w:rPr>
          <w:rtl w:val="0"/>
        </w:rPr>
        <w:t xml:space="preserve">Ci sono varie fonti da cui sono stati presi i dati, soprattutto dal sito ufficiale di A24</w:t>
      </w:r>
      <w:r w:rsidDel="00000000" w:rsidR="00000000" w:rsidRPr="00000000">
        <w:rPr>
          <w:u w:val="single"/>
          <w:rtl w:val="0"/>
        </w:rPr>
        <w:t xml:space="preserve">, Rotten Tomatoes</w:t>
      </w:r>
      <w:r w:rsidDel="00000000" w:rsidR="00000000" w:rsidRPr="00000000">
        <w:rPr>
          <w:rtl w:val="0"/>
        </w:rPr>
        <w:t xml:space="preserve"> e </w:t>
      </w:r>
      <w:r w:rsidDel="00000000" w:rsidR="00000000" w:rsidRPr="00000000">
        <w:rPr>
          <w:u w:val="single"/>
          <w:rtl w:val="0"/>
        </w:rPr>
        <w:t xml:space="preserve">The Numbers</w:t>
      </w:r>
      <w:r w:rsidDel="00000000" w:rsidR="00000000" w:rsidRPr="00000000">
        <w:rPr>
          <w:rtl w:val="0"/>
        </w:rPr>
        <w:t xml:space="preserve">. Ritengo che la fonte più attendibile sia quella di The Numbers, un sito web contenente dati dell’industria cinematografica che tiene traccia delle entrate al botteghino in modo sistematico e algoritmico. Quindi i dati riguardanti gli incassi sono più attendibili rispetto ai dati resi disponibili da Rotten Tomatoes, che riportano la percentuale di recensioni positive che un film riceve.  </w:t>
      </w:r>
    </w:p>
    <w:p w:rsidR="00000000" w:rsidDel="00000000" w:rsidP="00000000" w:rsidRDefault="00000000" w:rsidRPr="00000000" w14:paraId="00000023">
      <w:pPr>
        <w:rPr/>
      </w:pPr>
      <w:r w:rsidDel="00000000" w:rsidR="00000000" w:rsidRPr="00000000">
        <w:rPr>
          <w:u w:val="single"/>
          <w:rtl w:val="0"/>
        </w:rPr>
        <w:t xml:space="preserve">Visualizzazione e criticità: </w:t>
      </w:r>
      <w:r w:rsidDel="00000000" w:rsidR="00000000" w:rsidRPr="00000000">
        <w:rPr>
          <w:rtl w:val="0"/>
        </w:rPr>
        <w:t xml:space="preserve">Una nota negativa di questa visualizzazione può essere la mancanza di ulteriori dati importanti come, ad esempio, l’età media e il paese di origine del pubblico e la differenza quantitativà dei dati suddivisa per i vari generi di film.</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formationisbeautiful.net/visualizations/a24-movie-browser/" TargetMode="External"/><Relationship Id="rId10" Type="http://schemas.openxmlformats.org/officeDocument/2006/relationships/hyperlink" Target="https://informationisbeautiful.net/visualizations/hollywood-2023-hits-flops/" TargetMode="External"/><Relationship Id="rId9" Type="http://schemas.openxmlformats.org/officeDocument/2006/relationships/hyperlink" Target="https://philanthropynewsdigest.org/news/ballmer-group-announces-217-million-in-climate-change-commitments#:~:text=Ballmer%20Group%20announces%20%24217%20million%20in%20climate%20change%20commitments,-October%2021%2C%202022&amp;text=Ballmer%20Group%20has%20announced%20an,seven%20grants%20totaling%20%24217%20mill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formationisbeautiful.net/visualizations/how-to-get-the-usa-to-carbon-netzero/#Solar" TargetMode="External"/><Relationship Id="rId8" Type="http://schemas.openxmlformats.org/officeDocument/2006/relationships/hyperlink" Target="https://usafac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EQfkAAYDWmXMXAQuDOHcHv92Zg==">CgMxLjA4AHIhMTBEdUEwdGJ5dXJXSG5YSVEtVGFRY1ItUWFGUUFGTlpi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Name">
    <vt:lpwstr>defa4170-0d19-0005-0004-bc88714345d2</vt:lpwstr>
  </property>
  <property fmtid="{D5CDD505-2E9C-101B-9397-08002B2CF9AE}" pid="4" name="MSIP_Label_2ad0b24d-6422-44b0-b3de-abb3a9e8c81a_SetDate">
    <vt:lpwstr>2023-12-05T17:00:41Z</vt:lpwstr>
  </property>
  <property fmtid="{D5CDD505-2E9C-101B-9397-08002B2CF9AE}" pid="5" name="MSIP_Label_2ad0b24d-6422-44b0-b3de-abb3a9e8c81a_Method">
    <vt:lpwstr>Standard</vt:lpwstr>
  </property>
  <property fmtid="{D5CDD505-2E9C-101B-9397-08002B2CF9AE}" pid="6" name="MSIP_Label_2ad0b24d-6422-44b0-b3de-abb3a9e8c81a_ActionId">
    <vt:lpwstr>7404fdd0-4529-4a76-9e5b-da517112c627</vt:lpwstr>
  </property>
  <property fmtid="{D5CDD505-2E9C-101B-9397-08002B2CF9AE}" pid="7" name="MSIP_Label_2ad0b24d-6422-44b0-b3de-abb3a9e8c81a_ContentBits">
    <vt:lpwstr>0</vt:lpwstr>
  </property>
  <property fmtid="{D5CDD505-2E9C-101B-9397-08002B2CF9AE}" pid="8" name="MSIP_Label_2ad0b24d-6422-44b0-b3de-abb3a9e8c81a_SiteId">
    <vt:lpwstr>2fcfe26a-bb62-46b0-b1e3-28f9da0c45fd</vt:lpwstr>
  </property>
</Properties>
</file>