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'n', followed by the number of points (60, 100, 200, 500),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'd' followed by the number of dimensions (2, 5, 10),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whether the dataset has type A or type B outliers* (A, B),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whether the dataset is for training or validation (T, V),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'j' followed by the fold number for 5-fold cross validation (0,1,2,3,4).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*Note that the type A and type B outliers are reversed from the way they are presented in the paper.  Type B outliers in the paper are in the datasets labelled type A.   There are also 3 test datasets in the folder.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