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pPr>
      <w:r/>
    </w:p>
    <w:p>
      <w:pPr>
        <w:pStyle w:val="Title"/>
      </w:pPr>
      <w:r>
        <w:t>PROFIT-LINKED FUNDING &amp; PARTICIPATION AGREEMENT</w:t>
      </w:r>
    </w:p>
    <w:p>
      <w:r>
        <w:t>ABHIRAM GROUP  |  ABHIRAM TEXTILES  |  WORKING DRAFT — LEGAL REVIEW AND SIGNATURES REQUIRED</w:t>
      </w:r>
    </w:p>
    <w:p>
      <w:r>
        <w:t>This template records contractual economic participation within a sole proprietorship. It does not, by itself, transfer shares in a company, admit a legal partner, or create ownership of a division or branch. Complete all blanks and schedules before execution.</w:t>
      </w:r>
    </w:p>
    <w:p>
      <w:pPr>
        <w:pStyle w:val="Heading1"/>
      </w:pPr>
      <w:r>
        <w:t>Agreement Particulars</w:t>
      </w:r>
    </w:p>
    <w:tbl>
      <w:tblPr>
        <w:tblStyle w:val="TableGrid"/>
        <w:tblW w:type="auto" w:w="0"/>
        <w:tblLayout w:type="fixed"/>
        <w:tblLook w:firstColumn="1" w:firstRow="1" w:lastColumn="0" w:lastRow="0" w:noHBand="0" w:noVBand="1" w:val="04A0"/>
      </w:tblPr>
      <w:tblGrid>
        <w:gridCol w:w="2880"/>
        <w:gridCol w:w="6480"/>
      </w:tblGrid>
      <w:tr>
        <w:tc>
          <w:tcPr>
            <w:tcW w:type="dxa" w:w="2880"/>
          </w:tcPr>
          <w:p>
            <w:pPr>
              <w:spacing w:after="40"/>
            </w:pPr>
            <w:r>
              <w:rPr>
                <w:sz w:val="16"/>
              </w:rPr>
              <w:t>Agreement number</w:t>
            </w:r>
          </w:p>
        </w:tc>
        <w:tc>
          <w:tcPr>
            <w:tcW w:type="dxa" w:w="6480"/>
          </w:tcPr>
          <w:p>
            <w:pPr>
              <w:spacing w:after="40"/>
            </w:pPr>
            <w:r>
              <w:rPr>
                <w:sz w:val="16"/>
              </w:rPr>
              <w:t>ATX_DN_01 [VERIFY]</w:t>
            </w:r>
          </w:p>
        </w:tc>
      </w:tr>
      <w:tr>
        <w:tc>
          <w:tcPr>
            <w:tcW w:type="dxa" w:w="2880"/>
          </w:tcPr>
          <w:p>
            <w:pPr>
              <w:spacing w:after="40"/>
            </w:pPr>
            <w:r>
              <w:rPr>
                <w:sz w:val="16"/>
              </w:rPr>
              <w:t>Execution date / place</w:t>
            </w:r>
          </w:p>
        </w:tc>
        <w:tc>
          <w:tcPr>
            <w:tcW w:type="dxa" w:w="6480"/>
          </w:tcPr>
          <w:p>
            <w:pPr>
              <w:spacing w:after="40"/>
            </w:pPr>
            <w:r>
              <w:rPr>
                <w:sz w:val="16"/>
              </w:rPr>
              <w:t>[DATE] / Hyderabad, Telangana</w:t>
            </w:r>
          </w:p>
        </w:tc>
      </w:tr>
      <w:tr>
        <w:tc>
          <w:tcPr>
            <w:tcW w:type="dxa" w:w="2880"/>
          </w:tcPr>
          <w:p>
            <w:pPr>
              <w:spacing w:after="40"/>
            </w:pPr>
            <w:r>
              <w:rPr>
                <w:sz w:val="16"/>
              </w:rPr>
              <w:t>Business / proprietor</w:t>
            </w:r>
          </w:p>
        </w:tc>
        <w:tc>
          <w:tcPr>
            <w:tcW w:type="dxa" w:w="6480"/>
          </w:tcPr>
          <w:p>
            <w:pPr>
              <w:spacing w:after="40"/>
            </w:pPr>
            <w:r>
              <w:rPr>
                <w:sz w:val="16"/>
              </w:rPr>
              <w:t>Ravi Shanker Vidapalapati, carrying on business as Abhiram Group</w:t>
            </w:r>
          </w:p>
        </w:tc>
      </w:tr>
      <w:tr>
        <w:tc>
          <w:tcPr>
            <w:tcW w:type="dxa" w:w="2880"/>
          </w:tcPr>
          <w:p>
            <w:pPr>
              <w:spacing w:after="40"/>
            </w:pPr>
            <w:r>
              <w:rPr>
                <w:sz w:val="16"/>
              </w:rPr>
              <w:t>Funding participant</w:t>
            </w:r>
          </w:p>
        </w:tc>
        <w:tc>
          <w:tcPr>
            <w:tcW w:type="dxa" w:w="6480"/>
          </w:tcPr>
          <w:p>
            <w:pPr>
              <w:spacing w:after="40"/>
            </w:pPr>
            <w:r>
              <w:rPr>
                <w:sz w:val="16"/>
              </w:rPr>
              <w:t>Dhana Lakshmi Nalluri [VERIFY IDENTITY AND ADDRESS]</w:t>
            </w:r>
          </w:p>
        </w:tc>
      </w:tr>
      <w:tr>
        <w:tc>
          <w:tcPr>
            <w:tcW w:type="dxa" w:w="2880"/>
          </w:tcPr>
          <w:p>
            <w:pPr>
              <w:spacing w:after="40"/>
            </w:pPr>
            <w:r>
              <w:rPr>
                <w:sz w:val="16"/>
              </w:rPr>
              <w:t>Participation scope</w:t>
            </w:r>
          </w:p>
        </w:tc>
        <w:tc>
          <w:tcPr>
            <w:tcW w:type="dxa" w:w="6480"/>
          </w:tcPr>
          <w:p>
            <w:pPr>
              <w:spacing w:after="40"/>
            </w:pPr>
            <w:r>
              <w:rPr>
                <w:sz w:val="16"/>
              </w:rPr>
              <w:t>Abhiram Textiles — DIVISION (all included branches as listed in Schedule A)</w:t>
            </w:r>
          </w:p>
        </w:tc>
      </w:tr>
      <w:tr>
        <w:tc>
          <w:tcPr>
            <w:tcW w:type="dxa" w:w="2880"/>
          </w:tcPr>
          <w:p>
            <w:pPr>
              <w:spacing w:after="40"/>
            </w:pPr>
            <w:r>
              <w:rPr>
                <w:sz w:val="16"/>
              </w:rPr>
              <w:t>Starting participation</w:t>
            </w:r>
          </w:p>
        </w:tc>
        <w:tc>
          <w:tcPr>
            <w:tcW w:type="dxa" w:w="6480"/>
          </w:tcPr>
          <w:p>
            <w:pPr>
              <w:spacing w:after="40"/>
            </w:pPr>
            <w:r>
              <w:rPr>
                <w:sz w:val="16"/>
              </w:rPr>
              <w:t>50.0000% of the defined Division Distributable Profit [VERIFY]</w:t>
            </w:r>
          </w:p>
        </w:tc>
      </w:tr>
      <w:tr>
        <w:tc>
          <w:tcPr>
            <w:tcW w:type="dxa" w:w="2880"/>
          </w:tcPr>
          <w:p>
            <w:pPr>
              <w:spacing w:after="40"/>
            </w:pPr>
            <w:r>
              <w:rPr>
                <w:sz w:val="16"/>
              </w:rPr>
              <w:t>Starting commitment / funds received</w:t>
            </w:r>
          </w:p>
        </w:tc>
        <w:tc>
          <w:tcPr>
            <w:tcW w:type="dxa" w:w="6480"/>
          </w:tcPr>
          <w:p>
            <w:pPr>
              <w:spacing w:after="40"/>
            </w:pPr>
            <w:r>
              <w:rPr>
                <w:sz w:val="16"/>
              </w:rPr>
              <w:t>₹[AMOUNT]; actual receipts are recorded separately</w:t>
            </w:r>
          </w:p>
        </w:tc>
      </w:tr>
      <w:tr>
        <w:tc>
          <w:tcPr>
            <w:tcW w:type="dxa" w:w="2880"/>
          </w:tcPr>
          <w:p>
            <w:pPr>
              <w:spacing w:after="40"/>
            </w:pPr>
            <w:r>
              <w:rPr>
                <w:sz w:val="16"/>
              </w:rPr>
              <w:t>Effective commencement</w:t>
            </w:r>
          </w:p>
        </w:tc>
        <w:tc>
          <w:tcPr>
            <w:tcW w:type="dxa" w:w="6480"/>
          </w:tcPr>
          <w:p>
            <w:pPr>
              <w:spacing w:after="40"/>
            </w:pPr>
            <w:r>
              <w:rPr>
                <w:sz w:val="16"/>
              </w:rPr>
              <w:t>[DATE]</w:t>
            </w:r>
          </w:p>
        </w:tc>
      </w:tr>
      <w:tr>
        <w:tc>
          <w:tcPr>
            <w:tcW w:type="dxa" w:w="2880"/>
          </w:tcPr>
          <w:p>
            <w:pPr>
              <w:spacing w:after="40"/>
            </w:pPr>
            <w:r>
              <w:rPr>
                <w:sz w:val="16"/>
              </w:rPr>
              <w:t>Expiration / termination</w:t>
            </w:r>
          </w:p>
        </w:tc>
        <w:tc>
          <w:tcPr>
            <w:tcW w:type="dxa" w:w="6480"/>
          </w:tcPr>
          <w:p>
            <w:pPr>
              <w:spacing w:after="40"/>
            </w:pPr>
            <w:r>
              <w:rPr>
                <w:sz w:val="16"/>
              </w:rPr>
              <w:t>[DATE OR CONDITIONS]</w:t>
            </w:r>
          </w:p>
        </w:tc>
      </w:tr>
    </w:tbl>
    <w:p>
      <w:pPr>
        <w:pStyle w:val="Heading1"/>
      </w:pPr>
      <w:r>
        <w:t>1. Parties and nature of arrangement</w:t>
      </w:r>
    </w:p>
    <w:p>
      <w:r>
        <w:t>1.1 The proprietor operates Abhiram Group and its Abhiram Textiles division. The Funding Participant will provide funding and/or receive a contractually defined participation in profit, subject to this Agreement and its schedules.</w:t>
      </w:r>
    </w:p>
    <w:p>
      <w:r>
        <w:t>1.2 The percentage is a contractual profit-participation percentage, not legal equity in the sole proprietorship. Legal ownership and authority remain with the proprietor unless the parties separately implement a legally valid restructuring.</w:t>
      </w:r>
    </w:p>
    <w:p>
      <w:r>
        <w:t>1.3 No investor may bind the business, access confidential records, withdraw stock, or represent themself as a legal partner merely by reason of profit participation. Any exceptional governance/access rights must be listed expressly in Schedule A.</w:t>
      </w:r>
    </w:p>
    <w:p>
      <w:pPr>
        <w:pStyle w:val="Heading1"/>
      </w:pPr>
      <w:r>
        <w:t>2. Funding, additions and repayments</w:t>
      </w:r>
    </w:p>
    <w:p>
      <w:r>
        <w:t>2.1 Funding model: [FIXED / FLEXIBLE ADVANCE / REVOLVING / NO INITIAL FUNDING]. Initial funded amount: ₹[ ]. Maximum outstanding, if applicable: ₹[ ]. The agreed profit entitlement may be independent of principal outstanding only if specified in Schedule A.</w:t>
      </w:r>
    </w:p>
    <w:p>
      <w:r>
        <w:t>2.2 Additional funding is permitted [YES / NO / WITH WRITTEN CONSENT], subject to the contractual limit. Each drawdown is recorded by amount, date, purpose, payment mode and unique reference. Funds supplied directly to a stock supplier are separately documented as supplier settlement funded by the participant.</w:t>
      </w:r>
    </w:p>
    <w:p>
      <w:r>
        <w:t>2.3 Principal repayments may occur [ON DEMAND / AS AVAILABLE WITH AGREED APPROVAL / SCHEDULED]. The agreement must specify notice, maturity, repayment priority and circumstances where payments can be deferred. Principal returned does not automatically cancel the profit entitlement unless Schedule A expressly says so.</w:t>
      </w:r>
    </w:p>
    <w:p>
      <w:r>
        <w:t>2.4 Interest, if any, must be documented separately with rate, basis, accrual convention, payment frequency and applicable tax deductions. Principal receipts/returns are distinct from earned profit allocations and interest.</w:t>
      </w:r>
    </w:p>
    <w:p>
      <w:pPr>
        <w:pStyle w:val="Heading1"/>
      </w:pPr>
      <w:r>
        <w:t>3. Profit definition and allocation waterfall</w:t>
      </w:r>
    </w:p>
    <w:p>
      <w:r>
        <w:t>3.1 “Division Distributable Profit” is determined under Schedule A by accounting for verified revenue, cost of goods sold, returns, operating expenses, approved head-office/common expense allocations, permitted reserves, applicable taxes and contractual adjustments. The parties shall explicitly choose whether division-level participation is calculated before or after branch-level investor allocations.</w:t>
      </w:r>
    </w:p>
    <w:p>
      <w:r>
        <w:t>3.2 Default for illustration only: BRANCH FIRST → DIVISION SECOND → GROUP RESIDUAL. At each pool, approved external participation for the relevant dates must not exceed 100.0000%; the remaining percentage is shown automatically as “Abhiram Group — Residual Participation.”</w:t>
      </w:r>
    </w:p>
    <w:p>
      <w:r>
        <w:t>3.3 Participation at different scopes is not directly additive: an investor with 50% of a division-level post-branch pool and another with 50% of one branch can both have valid contracts. Profit must not be counted or distributed twice.</w:t>
      </w:r>
    </w:p>
    <w:p>
      <w:r>
        <w:t>3.4 Payout frequency: [MONTHLY / QUARTERLY / OTHER]; payment due [ ] days after approved accounts and required reserves. Actual entitlement depends on the agreed profit base and final reconciliation, not merely cash on hand.</w:t>
      </w:r>
    </w:p>
    <w:p>
      <w:pPr>
        <w:pStyle w:val="Heading1"/>
      </w:pPr>
      <w:r>
        <w:t>4. Loss-sharing, limits and carry-forward</w:t>
      </w:r>
    </w:p>
    <w:p>
      <w:r>
        <w:t>4.1 Loss participation is [NONE / SAME AS PROFIT SHARE / CUSTOM __% / CAPPED AT ₹__] and its calculation scope is [GROUP / DIVISION / BRANCH]. It is not automatically equal to profit participation.</w:t>
      </w:r>
    </w:p>
    <w:p>
      <w:r>
        <w:t>4.2 Losses will be settled by [CARRY FORWARD AGAINST FUTURE EARNINGS / DEDUCT CONTRACTUAL RISK BALANCE / ADDITIONAL CONTRIBUTION SUBJECT TO EXPRESS WRITTEN OBLIGATION / OTHER]. Specify whether loss allocations can create a cash-call obligation and any maximum exposure.</w:t>
      </w:r>
    </w:p>
    <w:p>
      <w:r>
        <w:t>4.3 Approved losses, negative balances and later recoveries must be reported with a dated statement, and not booked as an immediate debt payable by the participant unless the signed agreement explicitly creates such an obligation.</w:t>
      </w:r>
    </w:p>
    <w:p>
      <w:pPr>
        <w:pStyle w:val="Heading1"/>
      </w:pPr>
      <w:r>
        <w:t>5. Change in percentage; effective-date and pro-rata rules</w:t>
      </w:r>
    </w:p>
    <w:p>
      <w:r>
        <w:t>5.1 Any revision to the Funding Participant’s contractual profit or loss percentage requires a dated written amendment signed/accepted by both affected contracting parties. The proprietor cannot unilaterally reduce an existing participant’s entitlement solely to accommodate another investor unless the existing agreement expressly permits that specific adjustment mechanism.</w:t>
      </w:r>
    </w:p>
    <w:p>
      <w:r>
        <w:t>5.2 An approved revision takes effect on the effective date in its signed amendment. Prior periods retain their then-effective percentages. The system preserves every approved agreement version, scope, percentage, effective interval and supporting signed document; superseded terms are not deleted.</w:t>
      </w:r>
    </w:p>
    <w:p>
      <w:r>
        <w:t>5.3 If a calculation period crosses a revision date, it must be split into non-overlapping subperiods. Profits/losses are attributed to each subperiod from reliable books when available; otherwise, an explicitly agreed allocation driver is used. Straight-line days alone is not automatically appropriate where sales, stock or expenses are uneven.</w:t>
      </w:r>
    </w:p>
    <w:p>
      <w:r>
        <w:t>5.4 For a time-based fallback expressly adopted in Schedule C: share entitlement = Σ[(period eligible profit allocated to subperiod) × (participant percentage effective for that subperiod)]. If evenly allocating a ₹90,000 monthly eligible profit across 30 days, a percentage of 50% for 10 days and 30% for 20 days gives ₹15,000 + ₹18,000 = ₹33,000. This example does not establish an automatic accounting convention.</w:t>
      </w:r>
    </w:p>
    <w:p>
      <w:r>
        <w:t>5.5 The Group residual is recalculated as 100% minus the sum of overlapping external shares in each profit pool. On signing an amendment admitting a new investor, the Group residual may decline automatically. Reducing another investor’s share requires that investor’s valid consent and an executed amendment.</w:t>
      </w:r>
    </w:p>
    <w:p>
      <w:pPr>
        <w:pStyle w:val="Heading1"/>
      </w:pPr>
      <w:r>
        <w:t>6. Records, approval and disagreements</w:t>
      </w:r>
    </w:p>
    <w:p>
      <w:r>
        <w:t>6.1 The parties may receive periodic statements of receipts, principal outstanding, profit/loss allocation, return payments and balances, subject to reasonable confidentiality and records-access terms in Schedule A.</w:t>
      </w:r>
    </w:p>
    <w:p>
      <w:r>
        <w:t>6.2 No unapproved or draft funding receipt is assumed to be verified cash. No estimated profit allocation is payable until the agreed calculation and review are completed. Errors will be corrected through dated reversals and audit logs rather than deleting verified financial transactions.</w:t>
      </w:r>
    </w:p>
    <w:p>
      <w:r>
        <w:t>6.3 Dispute resolution, governing law, venue, notices, death/incapacity arrangements and termination settlement are as specified in Schedule A. This draft requires local professional review for enforceability, Indian tax implications, stamp duty and appropriate characterization of the funding arrangement.</w:t>
      </w:r>
    </w:p>
    <w:p>
      <w:pPr>
        <w:pStyle w:val="Heading1"/>
      </w:pPr>
      <w:r>
        <w:t>Schedule A — Commercial Terms (complete before signing)</w:t>
      </w:r>
    </w:p>
    <w:tbl>
      <w:tblPr>
        <w:tblStyle w:val="TableGrid"/>
        <w:tblW w:type="auto" w:w="0"/>
        <w:tblLayout w:type="fixed"/>
        <w:tblLook w:firstColumn="1" w:firstRow="1" w:lastColumn="0" w:lastRow="0" w:noHBand="0" w:noVBand="1" w:val="04A0"/>
      </w:tblPr>
      <w:tblGrid>
        <w:gridCol w:w="2880"/>
        <w:gridCol w:w="6480"/>
      </w:tblGrid>
      <w:tr>
        <w:tc>
          <w:tcPr>
            <w:tcW w:type="dxa" w:w="2880"/>
          </w:tcPr>
          <w:p>
            <w:pPr>
              <w:spacing w:after="40"/>
            </w:pPr>
            <w:r>
              <w:rPr>
                <w:sz w:val="16"/>
              </w:rPr>
              <w:t>Scope and included units</w:t>
            </w:r>
          </w:p>
        </w:tc>
        <w:tc>
          <w:tcPr>
            <w:tcW w:type="dxa" w:w="6480"/>
          </w:tcPr>
          <w:p>
            <w:pPr>
              <w:spacing w:after="40"/>
            </w:pPr>
            <w:r>
              <w:rPr>
                <w:sz w:val="16"/>
              </w:rPr>
              <w:t>DIVISION: Abhiram Textiles. Included branches [LIST / ALL ACTIVE BRANCHES].</w:t>
            </w:r>
          </w:p>
        </w:tc>
      </w:tr>
      <w:tr>
        <w:tc>
          <w:tcPr>
            <w:tcW w:type="dxa" w:w="2880"/>
          </w:tcPr>
          <w:p>
            <w:pPr>
              <w:spacing w:after="40"/>
            </w:pPr>
            <w:r>
              <w:rPr>
                <w:sz w:val="16"/>
              </w:rPr>
              <w:t>Profit calculation basis</w:t>
            </w:r>
          </w:p>
        </w:tc>
        <w:tc>
          <w:tcPr>
            <w:tcW w:type="dxa" w:w="6480"/>
          </w:tcPr>
          <w:p>
            <w:pPr>
              <w:spacing w:after="40"/>
            </w:pPr>
            <w:r>
              <w:rPr>
                <w:sz w:val="16"/>
              </w:rPr>
              <w:t>[DEFINE REVENUE, COST, TAX, EXPENSES, RESERVES AND EXCLUSIONS]</w:t>
            </w:r>
          </w:p>
        </w:tc>
      </w:tr>
      <w:tr>
        <w:tc>
          <w:tcPr>
            <w:tcW w:type="dxa" w:w="2880"/>
          </w:tcPr>
          <w:p>
            <w:pPr>
              <w:spacing w:after="40"/>
            </w:pPr>
            <w:r>
              <w:rPr>
                <w:sz w:val="16"/>
              </w:rPr>
              <w:t>Allocation order</w:t>
            </w:r>
          </w:p>
        </w:tc>
        <w:tc>
          <w:tcPr>
            <w:tcW w:type="dxa" w:w="6480"/>
          </w:tcPr>
          <w:p>
            <w:pPr>
              <w:spacing w:after="40"/>
            </w:pPr>
            <w:r>
              <w:rPr>
                <w:sz w:val="16"/>
              </w:rPr>
              <w:t>[BRANCH FIRST / DIVISION FIRST / OTHER]; expense allocation method [ ]</w:t>
            </w:r>
          </w:p>
        </w:tc>
      </w:tr>
      <w:tr>
        <w:tc>
          <w:tcPr>
            <w:tcW w:type="dxa" w:w="2880"/>
          </w:tcPr>
          <w:p>
            <w:pPr>
              <w:spacing w:after="40"/>
            </w:pPr>
            <w:r>
              <w:rPr>
                <w:sz w:val="16"/>
              </w:rPr>
              <w:t>Starting profit share</w:t>
            </w:r>
          </w:p>
        </w:tc>
        <w:tc>
          <w:tcPr>
            <w:tcW w:type="dxa" w:w="6480"/>
          </w:tcPr>
          <w:p>
            <w:pPr>
              <w:spacing w:after="40"/>
            </w:pPr>
            <w:r>
              <w:rPr>
                <w:sz w:val="16"/>
              </w:rPr>
              <w:t>Participant 50.0000% [VERIFY]; Abhiram Group calculated residual 50.0000%</w:t>
            </w:r>
          </w:p>
        </w:tc>
      </w:tr>
      <w:tr>
        <w:tc>
          <w:tcPr>
            <w:tcW w:type="dxa" w:w="2880"/>
          </w:tcPr>
          <w:p>
            <w:pPr>
              <w:spacing w:after="40"/>
            </w:pPr>
            <w:r>
              <w:rPr>
                <w:sz w:val="16"/>
              </w:rPr>
              <w:t>Loss sharing and exposure</w:t>
            </w:r>
          </w:p>
        </w:tc>
        <w:tc>
          <w:tcPr>
            <w:tcW w:type="dxa" w:w="6480"/>
          </w:tcPr>
          <w:p>
            <w:pPr>
              <w:spacing w:after="40"/>
            </w:pPr>
            <w:r>
              <w:rPr>
                <w:sz w:val="16"/>
              </w:rPr>
              <w:t>[MODEL, %, CAP, SETTLEMENT, CARRY-FORWARD]</w:t>
            </w:r>
          </w:p>
        </w:tc>
      </w:tr>
      <w:tr>
        <w:tc>
          <w:tcPr>
            <w:tcW w:type="dxa" w:w="2880"/>
          </w:tcPr>
          <w:p>
            <w:pPr>
              <w:spacing w:after="40"/>
            </w:pPr>
            <w:r>
              <w:rPr>
                <w:sz w:val="16"/>
              </w:rPr>
              <w:t>Additional funding / repayments</w:t>
            </w:r>
          </w:p>
        </w:tc>
        <w:tc>
          <w:tcPr>
            <w:tcW w:type="dxa" w:w="6480"/>
          </w:tcPr>
          <w:p>
            <w:pPr>
              <w:spacing w:after="40"/>
            </w:pPr>
            <w:r>
              <w:rPr>
                <w:sz w:val="16"/>
              </w:rPr>
              <w:t>[LIMIT, FREQUENCY, AUTHORIZATION, PAYMENT TERMS]</w:t>
            </w:r>
          </w:p>
        </w:tc>
      </w:tr>
      <w:tr>
        <w:tc>
          <w:tcPr>
            <w:tcW w:type="dxa" w:w="2880"/>
          </w:tcPr>
          <w:p>
            <w:pPr>
              <w:spacing w:after="40"/>
            </w:pPr>
            <w:r>
              <w:rPr>
                <w:sz w:val="16"/>
              </w:rPr>
              <w:t>Zero-principal entitlement</w:t>
            </w:r>
          </w:p>
        </w:tc>
        <w:tc>
          <w:tcPr>
            <w:tcW w:type="dxa" w:w="6480"/>
          </w:tcPr>
          <w:p>
            <w:pPr>
              <w:spacing w:after="40"/>
            </w:pPr>
            <w:r>
              <w:rPr>
                <w:sz w:val="16"/>
              </w:rPr>
              <w:t>[YES / NO; TRIGGER AND EXPIRY]</w:t>
            </w:r>
          </w:p>
        </w:tc>
      </w:tr>
      <w:tr>
        <w:tc>
          <w:tcPr>
            <w:tcW w:type="dxa" w:w="2880"/>
          </w:tcPr>
          <w:p>
            <w:pPr>
              <w:spacing w:after="40"/>
            </w:pPr>
            <w:r>
              <w:rPr>
                <w:sz w:val="16"/>
              </w:rPr>
              <w:t>Reporting and payment</w:t>
            </w:r>
          </w:p>
        </w:tc>
        <w:tc>
          <w:tcPr>
            <w:tcW w:type="dxa" w:w="6480"/>
          </w:tcPr>
          <w:p>
            <w:pPr>
              <w:spacing w:after="40"/>
            </w:pPr>
            <w:r>
              <w:rPr>
                <w:sz w:val="16"/>
              </w:rPr>
              <w:t>[PERIOD, APPROVAL DEADLINE, PAYOUT DATE, BANK DETAILS]</w:t>
            </w:r>
          </w:p>
        </w:tc>
      </w:tr>
      <w:tr>
        <w:tc>
          <w:tcPr>
            <w:tcW w:type="dxa" w:w="2880"/>
          </w:tcPr>
          <w:p>
            <w:pPr>
              <w:spacing w:after="40"/>
            </w:pPr>
            <w:r>
              <w:rPr>
                <w:sz w:val="16"/>
              </w:rPr>
              <w:t>Termination and exit</w:t>
            </w:r>
          </w:p>
        </w:tc>
        <w:tc>
          <w:tcPr>
            <w:tcW w:type="dxa" w:w="6480"/>
          </w:tcPr>
          <w:p>
            <w:pPr>
              <w:spacing w:after="40"/>
            </w:pPr>
            <w:r>
              <w:rPr>
                <w:sz w:val="16"/>
              </w:rPr>
              <w:t>[NOTICE, PRINCIPAL SETTLEMENT, UNPAID PROFIT/LOSS RULES]</w:t>
            </w:r>
          </w:p>
        </w:tc>
      </w:tr>
      <w:tr>
        <w:tc>
          <w:tcPr>
            <w:tcW w:type="dxa" w:w="2880"/>
          </w:tcPr>
          <w:p>
            <w:pPr>
              <w:spacing w:after="40"/>
            </w:pPr>
            <w:r>
              <w:rPr>
                <w:sz w:val="16"/>
              </w:rPr>
              <w:t>Document / stamp details</w:t>
            </w:r>
          </w:p>
        </w:tc>
        <w:tc>
          <w:tcPr>
            <w:tcW w:type="dxa" w:w="6480"/>
          </w:tcPr>
          <w:p>
            <w:pPr>
              <w:spacing w:after="40"/>
            </w:pPr>
            <w:r>
              <w:rPr>
                <w:sz w:val="16"/>
              </w:rPr>
              <w:t>[SIGNED AGREEMENT REFERENCE, STAMP DETAILS, DATE]</w:t>
            </w:r>
          </w:p>
        </w:tc>
      </w:tr>
    </w:tbl>
    <w:p>
      <w:pPr>
        <w:pStyle w:val="Heading1"/>
      </w:pPr>
      <w:r>
        <w:t>Schedule B — Profit Participation Register (illustrative)</w:t>
      </w:r>
    </w:p>
    <w:p>
      <w:r>
        <w:t>Division pool: Dhana Lakshmi Nalluri — 50.0000%; Abhiram Group — residual 50.0000%; Total = 100.0000%. Branch-specific participation, where applicable, is validated within each branch pool separately and processed in the approved waterfall.</w:t>
      </w:r>
    </w:p>
    <w:p>
      <w:pPr>
        <w:pStyle w:val="Heading1"/>
      </w:pPr>
      <w:r>
        <w:t>Schedule C — Change-of-Share Amendment (reuse for each revision)</w:t>
      </w:r>
    </w:p>
    <w:tbl>
      <w:tblPr>
        <w:tblStyle w:val="TableGrid"/>
        <w:tblW w:type="auto" w:w="0"/>
        <w:tblLayout w:type="fixed"/>
        <w:tblLook w:firstColumn="1" w:firstRow="1" w:lastColumn="0" w:lastRow="0" w:noHBand="0" w:noVBand="1" w:val="04A0"/>
      </w:tblPr>
      <w:tblGrid>
        <w:gridCol w:w="2880"/>
        <w:gridCol w:w="6480"/>
      </w:tblGrid>
      <w:tr>
        <w:tc>
          <w:tcPr>
            <w:tcW w:type="dxa" w:w="2880"/>
          </w:tcPr>
          <w:p>
            <w:pPr>
              <w:spacing w:after="40"/>
            </w:pPr>
            <w:r>
              <w:rPr>
                <w:sz w:val="16"/>
              </w:rPr>
              <w:t>Original agreement/version</w:t>
            </w:r>
          </w:p>
        </w:tc>
        <w:tc>
          <w:tcPr>
            <w:tcW w:type="dxa" w:w="6480"/>
          </w:tcPr>
          <w:p>
            <w:pPr>
              <w:spacing w:after="40"/>
            </w:pPr>
            <w:r>
              <w:rPr>
                <w:sz w:val="16"/>
              </w:rPr>
              <w:t>[AGREEMENT NO.] / V[ ]</w:t>
            </w:r>
          </w:p>
        </w:tc>
      </w:tr>
      <w:tr>
        <w:tc>
          <w:tcPr>
            <w:tcW w:type="dxa" w:w="2880"/>
          </w:tcPr>
          <w:p>
            <w:pPr>
              <w:spacing w:after="40"/>
            </w:pPr>
            <w:r>
              <w:rPr>
                <w:sz w:val="16"/>
              </w:rPr>
              <w:t>Amendment number / executed date</w:t>
            </w:r>
          </w:p>
        </w:tc>
        <w:tc>
          <w:tcPr>
            <w:tcW w:type="dxa" w:w="6480"/>
          </w:tcPr>
          <w:p>
            <w:pPr>
              <w:spacing w:after="40"/>
            </w:pPr>
            <w:r>
              <w:rPr>
                <w:sz w:val="16"/>
              </w:rPr>
              <w:t>AM-[ ] / [DATE]</w:t>
            </w:r>
          </w:p>
        </w:tc>
      </w:tr>
      <w:tr>
        <w:tc>
          <w:tcPr>
            <w:tcW w:type="dxa" w:w="2880"/>
          </w:tcPr>
          <w:p>
            <w:pPr>
              <w:spacing w:after="40"/>
            </w:pPr>
            <w:r>
              <w:rPr>
                <w:sz w:val="16"/>
              </w:rPr>
              <w:t>Effective from</w:t>
            </w:r>
          </w:p>
        </w:tc>
        <w:tc>
          <w:tcPr>
            <w:tcW w:type="dxa" w:w="6480"/>
          </w:tcPr>
          <w:p>
            <w:pPr>
              <w:spacing w:after="40"/>
            </w:pPr>
            <w:r>
              <w:rPr>
                <w:sz w:val="16"/>
              </w:rPr>
              <w:t>[YYYY-MM-DD] (no unapproved retroactive changes)</w:t>
            </w:r>
          </w:p>
        </w:tc>
      </w:tr>
      <w:tr>
        <w:tc>
          <w:tcPr>
            <w:tcW w:type="dxa" w:w="2880"/>
          </w:tcPr>
          <w:p>
            <w:pPr>
              <w:spacing w:after="40"/>
            </w:pPr>
            <w:r>
              <w:rPr>
                <w:sz w:val="16"/>
              </w:rPr>
              <w:t>Affected profit pool</w:t>
            </w:r>
          </w:p>
        </w:tc>
        <w:tc>
          <w:tcPr>
            <w:tcW w:type="dxa" w:w="6480"/>
          </w:tcPr>
          <w:p>
            <w:pPr>
              <w:spacing w:after="40"/>
            </w:pPr>
            <w:r>
              <w:rPr>
                <w:sz w:val="16"/>
              </w:rPr>
              <w:t>[GROUP / DIVISION / BRANCH ID]</w:t>
            </w:r>
          </w:p>
        </w:tc>
      </w:tr>
      <w:tr>
        <w:tc>
          <w:tcPr>
            <w:tcW w:type="dxa" w:w="2880"/>
          </w:tcPr>
          <w:p>
            <w:pPr>
              <w:spacing w:after="40"/>
            </w:pPr>
            <w:r>
              <w:rPr>
                <w:sz w:val="16"/>
              </w:rPr>
              <w:t>Participant / previous profit share</w:t>
            </w:r>
          </w:p>
        </w:tc>
        <w:tc>
          <w:tcPr>
            <w:tcW w:type="dxa" w:w="6480"/>
          </w:tcPr>
          <w:p>
            <w:pPr>
              <w:spacing w:after="40"/>
            </w:pPr>
            <w:r>
              <w:rPr>
                <w:sz w:val="16"/>
              </w:rPr>
              <w:t>[NAME] / [OLD %]</w:t>
            </w:r>
          </w:p>
        </w:tc>
      </w:tr>
      <w:tr>
        <w:tc>
          <w:tcPr>
            <w:tcW w:type="dxa" w:w="2880"/>
          </w:tcPr>
          <w:p>
            <w:pPr>
              <w:spacing w:after="40"/>
            </w:pPr>
            <w:r>
              <w:rPr>
                <w:sz w:val="16"/>
              </w:rPr>
              <w:t>Participant / revised profit share</w:t>
            </w:r>
          </w:p>
        </w:tc>
        <w:tc>
          <w:tcPr>
            <w:tcW w:type="dxa" w:w="6480"/>
          </w:tcPr>
          <w:p>
            <w:pPr>
              <w:spacing w:after="40"/>
            </w:pPr>
            <w:r>
              <w:rPr>
                <w:sz w:val="16"/>
              </w:rPr>
              <w:t>[NAME] / [NEW %]</w:t>
            </w:r>
          </w:p>
        </w:tc>
      </w:tr>
      <w:tr>
        <w:tc>
          <w:tcPr>
            <w:tcW w:type="dxa" w:w="2880"/>
          </w:tcPr>
          <w:p>
            <w:pPr>
              <w:spacing w:after="40"/>
            </w:pPr>
            <w:r>
              <w:rPr>
                <w:sz w:val="16"/>
              </w:rPr>
              <w:t>Reason and consideration</w:t>
            </w:r>
          </w:p>
        </w:tc>
        <w:tc>
          <w:tcPr>
            <w:tcW w:type="dxa" w:w="6480"/>
          </w:tcPr>
          <w:p>
            <w:pPr>
              <w:spacing w:after="40"/>
            </w:pPr>
            <w:r>
              <w:rPr>
                <w:sz w:val="16"/>
              </w:rPr>
              <w:t>[NEW INVESTOR / CAPITAL CHANGE / OTHER]</w:t>
            </w:r>
          </w:p>
        </w:tc>
      </w:tr>
      <w:tr>
        <w:tc>
          <w:tcPr>
            <w:tcW w:type="dxa" w:w="2880"/>
          </w:tcPr>
          <w:p>
            <w:pPr>
              <w:spacing w:after="40"/>
            </w:pPr>
            <w:r>
              <w:rPr>
                <w:sz w:val="16"/>
              </w:rPr>
              <w:t>New investor (if any)</w:t>
            </w:r>
          </w:p>
        </w:tc>
        <w:tc>
          <w:tcPr>
            <w:tcW w:type="dxa" w:w="6480"/>
          </w:tcPr>
          <w:p>
            <w:pPr>
              <w:spacing w:after="40"/>
            </w:pPr>
            <w:r>
              <w:rPr>
                <w:sz w:val="16"/>
              </w:rPr>
              <w:t>[NAME, AGREEMENT NUMBER, %, EFFECTIVE DATE]</w:t>
            </w:r>
          </w:p>
        </w:tc>
      </w:tr>
      <w:tr>
        <w:tc>
          <w:tcPr>
            <w:tcW w:type="dxa" w:w="2880"/>
          </w:tcPr>
          <w:p>
            <w:pPr>
              <w:spacing w:after="40"/>
            </w:pPr>
            <w:r>
              <w:rPr>
                <w:sz w:val="16"/>
              </w:rPr>
              <w:t>Remaining Group residual</w:t>
            </w:r>
          </w:p>
        </w:tc>
        <w:tc>
          <w:tcPr>
            <w:tcW w:type="dxa" w:w="6480"/>
          </w:tcPr>
          <w:p>
            <w:pPr>
              <w:spacing w:after="40"/>
            </w:pPr>
            <w:r>
              <w:rPr>
                <w:sz w:val="16"/>
              </w:rPr>
              <w:t>[100% LESS ACTIVE EXTERNAL PARTICIPANTS]</w:t>
            </w:r>
          </w:p>
        </w:tc>
      </w:tr>
      <w:tr>
        <w:tc>
          <w:tcPr>
            <w:tcW w:type="dxa" w:w="2880"/>
          </w:tcPr>
          <w:p>
            <w:pPr>
              <w:spacing w:after="40"/>
            </w:pPr>
            <w:r>
              <w:rPr>
                <w:sz w:val="16"/>
              </w:rPr>
              <w:t>Profit proration method</w:t>
            </w:r>
          </w:p>
        </w:tc>
        <w:tc>
          <w:tcPr>
            <w:tcW w:type="dxa" w:w="6480"/>
          </w:tcPr>
          <w:p>
            <w:pPr>
              <w:spacing w:after="40"/>
            </w:pPr>
            <w:r>
              <w:rPr>
                <w:sz w:val="16"/>
              </w:rPr>
              <w:t>[ACTUAL SUBPERIOD P&amp;L / AGREED DRIVER]; define cut-off records</w:t>
            </w:r>
          </w:p>
        </w:tc>
      </w:tr>
      <w:tr>
        <w:tc>
          <w:tcPr>
            <w:tcW w:type="dxa" w:w="2880"/>
          </w:tcPr>
          <w:p>
            <w:pPr>
              <w:spacing w:after="40"/>
            </w:pPr>
            <w:r>
              <w:rPr>
                <w:sz w:val="16"/>
              </w:rPr>
              <w:t>Loss-share change (if any)</w:t>
            </w:r>
          </w:p>
        </w:tc>
        <w:tc>
          <w:tcPr>
            <w:tcW w:type="dxa" w:w="6480"/>
          </w:tcPr>
          <w:p>
            <w:pPr>
              <w:spacing w:after="40"/>
            </w:pPr>
            <w:r>
              <w:rPr>
                <w:sz w:val="16"/>
              </w:rPr>
              <w:t>[OLD %, NEW %, CAP, SETTLEMENT]</w:t>
            </w:r>
          </w:p>
        </w:tc>
      </w:tr>
      <w:tr>
        <w:tc>
          <w:tcPr>
            <w:tcW w:type="dxa" w:w="2880"/>
          </w:tcPr>
          <w:p>
            <w:pPr>
              <w:spacing w:after="40"/>
            </w:pPr>
            <w:r>
              <w:rPr>
                <w:sz w:val="16"/>
              </w:rPr>
              <w:t>Confirmation</w:t>
            </w:r>
          </w:p>
        </w:tc>
        <w:tc>
          <w:tcPr>
            <w:tcW w:type="dxa" w:w="6480"/>
          </w:tcPr>
          <w:p>
            <w:pPr>
              <w:spacing w:after="40"/>
            </w:pPr>
            <w:r>
              <w:rPr>
                <w:sz w:val="16"/>
              </w:rPr>
              <w:t>Original terms remain effective before amendment date; changed terms govern only from the specified effective date.</w:t>
            </w:r>
          </w:p>
        </w:tc>
      </w:tr>
    </w:tbl>
    <w:p>
      <w:r>
        <w:t>Amendment consent: the proprietor and every affected participant whose contractual rights change must sign or otherwise validly execute the change. A reduction in an investor’s percentage is not a mere administrative correction.</w:t>
      </w:r>
    </w:p>
    <w:p>
      <w:pPr>
        <w:pStyle w:val="Heading1"/>
      </w:pPr>
      <w:r>
        <w:t>Signatures and witnesses</w:t>
      </w:r>
    </w:p>
    <w:tbl>
      <w:tblPr>
        <w:tblStyle w:val="TableGrid"/>
        <w:tblW w:type="auto" w:w="0"/>
        <w:tblLayout w:type="fixed"/>
        <w:tblLook w:firstColumn="1" w:firstRow="1" w:lastColumn="0" w:lastRow="0" w:noHBand="0" w:noVBand="1" w:val="04A0"/>
      </w:tblPr>
      <w:tblGrid>
        <w:gridCol w:w="2880"/>
        <w:gridCol w:w="6480"/>
      </w:tblGrid>
      <w:tr>
        <w:tc>
          <w:tcPr>
            <w:tcW w:type="dxa" w:w="2880"/>
          </w:tcPr>
          <w:p>
            <w:pPr>
              <w:spacing w:after="40"/>
            </w:pPr>
            <w:r>
              <w:rPr>
                <w:sz w:val="16"/>
              </w:rPr>
              <w:t>For Abhiram Group (Proprietor)</w:t>
            </w:r>
          </w:p>
        </w:tc>
        <w:tc>
          <w:tcPr>
            <w:tcW w:type="dxa" w:w="6480"/>
          </w:tcPr>
          <w:p>
            <w:pPr>
              <w:spacing w:after="40"/>
            </w:pPr>
            <w:r>
              <w:rPr>
                <w:sz w:val="16"/>
              </w:rPr>
              <w:t>Signature: _____________________  Date: __________</w:t>
              <w:br/>
              <w:t>Name: Ravi Shanker Vidapalapati</w:t>
            </w:r>
          </w:p>
        </w:tc>
      </w:tr>
      <w:tr>
        <w:tc>
          <w:tcPr>
            <w:tcW w:type="dxa" w:w="2880"/>
          </w:tcPr>
          <w:p>
            <w:pPr>
              <w:spacing w:after="40"/>
            </w:pPr>
            <w:r>
              <w:rPr>
                <w:sz w:val="16"/>
              </w:rPr>
              <w:t>Funding Participant</w:t>
            </w:r>
          </w:p>
        </w:tc>
        <w:tc>
          <w:tcPr>
            <w:tcW w:type="dxa" w:w="6480"/>
          </w:tcPr>
          <w:p>
            <w:pPr>
              <w:spacing w:after="40"/>
            </w:pPr>
            <w:r>
              <w:rPr>
                <w:sz w:val="16"/>
              </w:rPr>
              <w:t>Signature: _____________________  Date: __________</w:t>
              <w:br/>
              <w:t>Name: Dhana Lakshmi Nalluri [VERIFY]</w:t>
            </w:r>
          </w:p>
        </w:tc>
      </w:tr>
      <w:tr>
        <w:tc>
          <w:tcPr>
            <w:tcW w:type="dxa" w:w="2880"/>
          </w:tcPr>
          <w:p>
            <w:pPr>
              <w:spacing w:after="40"/>
            </w:pPr>
            <w:r>
              <w:rPr>
                <w:sz w:val="16"/>
              </w:rPr>
              <w:t>Witness 1</w:t>
            </w:r>
          </w:p>
        </w:tc>
        <w:tc>
          <w:tcPr>
            <w:tcW w:type="dxa" w:w="6480"/>
          </w:tcPr>
          <w:p>
            <w:pPr>
              <w:spacing w:after="40"/>
            </w:pPr>
            <w:r>
              <w:rPr>
                <w:sz w:val="16"/>
              </w:rPr>
              <w:t>Name / Address / Signature: ______________________________</w:t>
            </w:r>
          </w:p>
        </w:tc>
      </w:tr>
      <w:tr>
        <w:tc>
          <w:tcPr>
            <w:tcW w:type="dxa" w:w="2880"/>
          </w:tcPr>
          <w:p>
            <w:pPr>
              <w:spacing w:after="40"/>
            </w:pPr>
            <w:r>
              <w:rPr>
                <w:sz w:val="16"/>
              </w:rPr>
              <w:t>Witness 2</w:t>
            </w:r>
          </w:p>
        </w:tc>
        <w:tc>
          <w:tcPr>
            <w:tcW w:type="dxa" w:w="6480"/>
          </w:tcPr>
          <w:p>
            <w:pPr>
              <w:spacing w:after="40"/>
            </w:pPr>
            <w:r>
              <w:rPr>
                <w:sz w:val="16"/>
              </w:rPr>
              <w:t>Name / Address / Signature: ______________________________</w:t>
            </w:r>
          </w:p>
        </w:tc>
      </w:tr>
    </w:tbl>
    <w:p>
      <w:r>
        <w:t>DRAFT TEMPLATE — DO NOT EXECUTE UNTIL ALL FIELDS ARE COMPLETED AND THE ARRANGEMENT IS REVIEWED FOR APPLICABLE LEGAL AND TAX REQUIREMENTS.</w:t>
      </w:r>
    </w:p>
    <w:sectPr w:rsidR="00FC693F" w:rsidRPr="0006063C" w:rsidSect="00034616">
      <w:headerReference w:type="default" r:id="rId9"/>
      <w:footerReference w:type="default" r:id="rId10"/>
      <w:pgSz w:w="11906" w:h="16838"/>
      <w:pgMar w:top="2563" w:right="648" w:bottom="2088" w:left="648"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p>
  <w:p>
    <w:pPr>
      <w:spacing w:before="0" w:after="40" w:line="240" w:lineRule="auto"/>
      <w:pBdr>
        <w:bottom w:val="single" w:sz="5" w:space="1" w:color="B7C0CB"/>
      </w:pBdr>
    </w:pPr>
  </w:p>
  <w:tbl>
    <w:tblPr>
      <w:tblW w:type="auto" w:w="0"/>
      <w:jc w:val="center"/>
      <w:tblLayout w:type="fixed"/>
      <w:tblLook w:firstColumn="1" w:firstRow="1" w:lastColumn="0" w:lastRow="0" w:noHBand="0" w:noVBand="1" w:val="04A0"/>
    </w:tblPr>
    <w:tblGrid>
      <w:gridCol w:w="2376"/>
      <w:gridCol w:w="1584"/>
      <w:gridCol w:w="2131"/>
      <w:gridCol w:w="2016"/>
      <w:gridCol w:w="2506"/>
    </w:tblGrid>
    <w:tr>
      <w:tc>
        <w:tcPr>
          <w:tcW w:type="dxa" w:w="2376"/>
          <w:vAlign w:val="top"/>
          <w:tcMar>
            <w:top w:w="20" w:type="dxa"/>
            <w:start w:w="45" w:type="dxa"/>
            <w:bottom w:w="30" w:type="dxa"/>
            <w:end w:w="45" w:type="dxa"/>
          </w:tcMar>
          <w:tcBorders>
            <w:left w:val="nil"/>
            <w:top w:val="nil"/>
            <w:bottom w:val="nil"/>
            <w:right w:val="nil"/>
          </w:tcBorders>
        </w:tcPr>
        <w:p>
          <w:pPr>
            <w:spacing w:before="0" w:after="0" w:line="240" w:lineRule="auto"/>
          </w:pPr>
          <w:r>
            <w:rPr>
              <w:rFonts w:ascii="Aptos" w:hAnsi="Aptos"/>
              <w:b/>
              <w:color w:val="0B4FA8"/>
              <w:sz w:val="13"/>
            </w:rPr>
            <w:t>ADDRESS</w:t>
          </w:r>
        </w:p>
        <w:p>
          <w:pPr>
            <w:spacing w:before="20" w:after="0" w:line="240" w:lineRule="auto"/>
          </w:pPr>
          <w:r>
            <w:rPr>
              <w:rFonts w:ascii="Aptos" w:hAnsi="Aptos"/>
              <w:b w:val="0"/>
              <w:color w:val="303844"/>
              <w:sz w:val="13"/>
            </w:rPr>
            <w:t>Flat No 401, Iland Villa,</w:t>
            <w:br/>
            <w:t>Prasanthi Nagar, Kapra,</w:t>
            <w:br/>
            <w:t>Hyderabad - 500062</w:t>
          </w:r>
        </w:p>
      </w:tc>
      <w:tc>
        <w:tcPr>
          <w:tcW w:type="dxa" w:w="1584"/>
          <w:vAlign w:val="top"/>
          <w:tcMar>
            <w:top w:w="20" w:type="dxa"/>
            <w:start w:w="45" w:type="dxa"/>
            <w:bottom w:w="30" w:type="dxa"/>
            <w:end w:w="45" w:type="dxa"/>
          </w:tcMar>
          <w:tcBorders>
            <w:left w:val="single" w:sz="6" w:color="CDD3DA"/>
            <w:top w:val="nil"/>
            <w:bottom w:val="nil"/>
            <w:right w:val="nil"/>
          </w:tcBorders>
        </w:tcPr>
        <w:p>
          <w:pPr>
            <w:spacing w:before="0" w:after="0" w:line="240" w:lineRule="auto"/>
          </w:pPr>
          <w:r>
            <w:rPr>
              <w:rFonts w:ascii="Aptos" w:hAnsi="Aptos"/>
              <w:b/>
              <w:color w:val="0B4FA8"/>
              <w:sz w:val="13"/>
            </w:rPr>
            <w:t>MOBILE</w:t>
          </w:r>
        </w:p>
        <w:p>
          <w:pPr>
            <w:spacing w:before="20" w:after="0" w:line="240" w:lineRule="auto"/>
          </w:pPr>
          <w:r>
            <w:rPr>
              <w:rFonts w:ascii="Aptos" w:hAnsi="Aptos"/>
              <w:b w:val="0"/>
              <w:color w:val="303844"/>
              <w:sz w:val="13"/>
            </w:rPr>
            <w:t>+91 7416516574</w:t>
          </w:r>
        </w:p>
      </w:tc>
      <w:tc>
        <w:tcPr>
          <w:tcW w:type="dxa" w:w="2131"/>
          <w:vAlign w:val="top"/>
          <w:tcMar>
            <w:top w:w="20" w:type="dxa"/>
            <w:start w:w="45" w:type="dxa"/>
            <w:bottom w:w="30" w:type="dxa"/>
            <w:end w:w="45" w:type="dxa"/>
          </w:tcMar>
          <w:tcBorders>
            <w:left w:val="single" w:sz="6" w:color="CDD3DA"/>
            <w:top w:val="nil"/>
            <w:bottom w:val="nil"/>
            <w:right w:val="nil"/>
          </w:tcBorders>
        </w:tcPr>
        <w:p>
          <w:pPr>
            <w:spacing w:before="0" w:after="0" w:line="240" w:lineRule="auto"/>
          </w:pPr>
          <w:r>
            <w:rPr>
              <w:rFonts w:ascii="Aptos" w:hAnsi="Aptos"/>
              <w:b/>
              <w:color w:val="0B4FA8"/>
              <w:sz w:val="13"/>
            </w:rPr>
            <w:t>EMAIL</w:t>
          </w:r>
        </w:p>
        <w:p>
          <w:pPr>
            <w:spacing w:before="20" w:after="0" w:line="240" w:lineRule="auto"/>
          </w:pPr>
          <w:r>
            <w:rPr>
              <w:rFonts w:ascii="Aptos" w:hAnsi="Aptos"/>
              <w:b w:val="0"/>
              <w:color w:val="303844"/>
              <w:sz w:val="13"/>
            </w:rPr>
            <w:t>info@abhiraminc.com</w:t>
          </w:r>
        </w:p>
      </w:tc>
      <w:tc>
        <w:tcPr>
          <w:tcW w:type="dxa" w:w="2016"/>
          <w:vAlign w:val="top"/>
          <w:tcMar>
            <w:top w:w="20" w:type="dxa"/>
            <w:start w:w="45" w:type="dxa"/>
            <w:bottom w:w="30" w:type="dxa"/>
            <w:end w:w="45" w:type="dxa"/>
          </w:tcMar>
          <w:tcBorders>
            <w:left w:val="single" w:sz="6" w:color="CDD3DA"/>
            <w:top w:val="nil"/>
            <w:bottom w:val="nil"/>
            <w:right w:val="nil"/>
          </w:tcBorders>
        </w:tcPr>
        <w:p>
          <w:pPr>
            <w:spacing w:before="0" w:after="0" w:line="240" w:lineRule="auto"/>
          </w:pPr>
          <w:r>
            <w:rPr>
              <w:rFonts w:ascii="Aptos" w:hAnsi="Aptos"/>
              <w:b/>
              <w:color w:val="0B4FA8"/>
              <w:sz w:val="13"/>
            </w:rPr>
            <w:t>WEBSITE</w:t>
          </w:r>
        </w:p>
        <w:p>
          <w:pPr>
            <w:spacing w:before="20" w:after="0" w:line="240" w:lineRule="auto"/>
          </w:pPr>
          <w:r>
            <w:rPr>
              <w:rFonts w:ascii="Aptos" w:hAnsi="Aptos"/>
              <w:b w:val="0"/>
              <w:color w:val="303844"/>
              <w:sz w:val="13"/>
            </w:rPr>
            <w:t>www.abhiraminc.com</w:t>
          </w:r>
        </w:p>
      </w:tc>
      <w:tc>
        <w:tcPr>
          <w:tcW w:type="dxa" w:w="2506"/>
          <w:vAlign w:val="top"/>
          <w:tcMar>
            <w:top w:w="20" w:type="dxa"/>
            <w:start w:w="45" w:type="dxa"/>
            <w:bottom w:w="30" w:type="dxa"/>
            <w:end w:w="45" w:type="dxa"/>
          </w:tcMar>
          <w:tcBorders>
            <w:left w:val="single" w:sz="6" w:color="CDD3DA"/>
            <w:top w:val="nil"/>
            <w:bottom w:val="nil"/>
            <w:right w:val="nil"/>
          </w:tcBorders>
        </w:tcPr>
        <w:p>
          <w:pPr>
            <w:spacing w:before="0" w:after="0" w:line="240" w:lineRule="auto"/>
          </w:pPr>
          <w:r>
            <w:rPr>
              <w:rFonts w:ascii="Aptos" w:hAnsi="Aptos"/>
              <w:b/>
              <w:color w:val="0B4FA8"/>
              <w:sz w:val="13"/>
            </w:rPr>
            <w:t>UDYAM REGISTRATION NO.</w:t>
          </w:r>
        </w:p>
        <w:p>
          <w:pPr>
            <w:spacing w:before="20" w:after="0" w:line="240" w:lineRule="auto"/>
          </w:pPr>
          <w:r>
            <w:rPr>
              <w:rFonts w:ascii="Aptos" w:hAnsi="Aptos"/>
              <w:b w:val="0"/>
              <w:color w:val="303844"/>
              <w:sz w:val="13"/>
            </w:rPr>
            <w:t>UDYAM-TS-20-0081308</w:t>
          </w:r>
        </w:p>
      </w:tc>
    </w:tr>
  </w:tbl>
  <w:tbl>
    <w:tblPr>
      <w:tblW w:type="auto" w:w="0"/>
      <w:jc w:val="center"/>
      <w:tblLayout w:type="fixed"/>
      <w:tblLook w:firstColumn="1" w:firstRow="1" w:lastColumn="0" w:lastRow="0" w:noHBand="0" w:noVBand="1" w:val="04A0"/>
    </w:tblPr>
    <w:tblGrid>
      <w:gridCol w:w="5760"/>
      <w:gridCol w:w="4853"/>
    </w:tblGrid>
    <w:tr>
      <w:tc>
        <w:tcPr>
          <w:tcW w:type="dxa" w:w="5305"/>
          <w:shd w:fill="0B2E6D"/>
          <w:tcMar>
            <w:top w:w="45" w:type="dxa"/>
            <w:start w:w="120" w:type="dxa"/>
            <w:bottom w:w="45" w:type="dxa"/>
            <w:end w:w="120" w:type="dxa"/>
          </w:tcMar>
          <w:tcBorders>
            <w:top w:val="nil"/>
            <w:left w:val="nil"/>
            <w:bottom w:val="nil"/>
            <w:right w:val="nil"/>
          </w:tcBorders>
          <w:vAlign w:val="center"/>
        </w:tcPr>
        <w:p>
          <w:pPr>
            <w:spacing w:before="0" w:after="0" w:line="240" w:lineRule="auto"/>
            <w:jc w:val="left"/>
          </w:pPr>
          <w:r>
            <w:rPr>
              <w:rFonts w:ascii="Aptos" w:hAnsi="Aptos"/>
              <w:b/>
              <w:color w:val="FFFFFF"/>
              <w:sz w:val="17"/>
            </w:rPr>
            <w:t>A B H I R A M   G R O U P</w:t>
          </w:r>
        </w:p>
      </w:tc>
      <w:tc>
        <w:tcPr>
          <w:tcW w:type="dxa" w:w="5305"/>
          <w:shd w:fill="8D99A6"/>
          <w:tcMar>
            <w:top w:w="45" w:type="dxa"/>
            <w:start w:w="120" w:type="dxa"/>
            <w:bottom w:w="45" w:type="dxa"/>
            <w:end w:w="120" w:type="dxa"/>
          </w:tcMar>
          <w:tcBorders>
            <w:top w:val="nil"/>
            <w:left w:val="nil"/>
            <w:bottom w:val="nil"/>
            <w:right w:val="nil"/>
          </w:tcBorders>
          <w:vAlign w:val="center"/>
        </w:tcPr>
        <w:p>
          <w:pPr>
            <w:spacing w:before="0" w:after="0" w:line="240" w:lineRule="auto"/>
            <w:jc w:val="right"/>
          </w:pPr>
          <w:r>
            <w:rPr>
              <w:rFonts w:ascii="Aptos" w:hAnsi="Aptos"/>
              <w:b w:val="0"/>
              <w:color w:val="FFFFFF"/>
              <w:sz w:val="14"/>
            </w:rPr>
            <w:t>P R O P R I E T O R   F I R M</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p>
  <w:tbl>
    <w:tblPr>
      <w:tblW w:type="auto" w:w="0"/>
      <w:jc w:val="center"/>
      <w:tblLayout w:type="fixed"/>
      <w:tblLook w:firstColumn="1" w:firstRow="1" w:lastColumn="0" w:lastRow="0" w:noHBand="0" w:noVBand="1" w:val="04A0"/>
    </w:tblPr>
    <w:tblGrid>
      <w:gridCol w:w="1757"/>
      <w:gridCol w:w="5357"/>
      <w:gridCol w:w="3499"/>
    </w:tblGrid>
    <w:tr>
      <w:tc>
        <w:tcPr>
          <w:tcW w:type="dxa" w:w="1757"/>
          <w:vAlign w:val="center"/>
          <w:tcMar>
            <w:top w:w="30" w:type="dxa"/>
            <w:start w:w="40" w:type="dxa"/>
            <w:bottom w:w="20" w:type="dxa"/>
            <w:end w:w="50" w:type="dxa"/>
          </w:tcMar>
          <w:tcBorders>
            <w:top w:val="nil"/>
            <w:left w:val="nil"/>
            <w:bottom w:val="nil"/>
            <w:right w:val="nil"/>
          </w:tcBorders>
        </w:tcPr>
        <w:p>
          <w:pPr>
            <w:spacing w:before="0" w:after="0" w:line="240" w:lineRule="auto"/>
            <w:jc w:val="center"/>
          </w:pPr>
          <w:r>
            <w:drawing>
              <wp:inline xmlns:a="http://schemas.openxmlformats.org/drawingml/2006/main" xmlns:pic="http://schemas.openxmlformats.org/drawingml/2006/picture">
                <wp:extent cx="987552" cy="1041574"/>
                <wp:docPr id="1" name="Picture 1"/>
                <wp:cNvGraphicFramePr>
                  <a:graphicFrameLocks noChangeAspect="1"/>
                </wp:cNvGraphicFramePr>
                <a:graphic>
                  <a:graphicData uri="http://schemas.openxmlformats.org/drawingml/2006/picture">
                    <pic:pic>
                      <pic:nvPicPr>
                        <pic:cNvPr id="0" name="Abhiram_Group_Logo_Color.png"/>
                        <pic:cNvPicPr/>
                      </pic:nvPicPr>
                      <pic:blipFill>
                        <a:blip r:embed="rId1"/>
                        <a:stretch>
                          <a:fillRect/>
                        </a:stretch>
                      </pic:blipFill>
                      <pic:spPr>
                        <a:xfrm>
                          <a:off x="0" y="0"/>
                          <a:ext cx="987552" cy="1041574"/>
                        </a:xfrm>
                        <a:prstGeom prst="rect"/>
                      </pic:spPr>
                    </pic:pic>
                  </a:graphicData>
                </a:graphic>
              </wp:inline>
            </w:drawing>
          </w:r>
        </w:p>
      </w:tc>
      <w:tc>
        <w:tcPr>
          <w:tcW w:type="dxa" w:w="5357"/>
          <w:vAlign w:val="center"/>
          <w:tcMar>
            <w:top w:w="30" w:type="dxa"/>
            <w:start w:w="40" w:type="dxa"/>
            <w:bottom w:w="20" w:type="dxa"/>
            <w:end w:w="50" w:type="dxa"/>
          </w:tcMar>
          <w:tcBorders>
            <w:top w:val="nil"/>
            <w:left w:val="nil"/>
            <w:bottom w:val="nil"/>
            <w:right w:val="nil"/>
          </w:tcBorders>
        </w:tcPr>
        <w:p>
          <w:pPr>
            <w:spacing w:before="0" w:after="0" w:line="240" w:lineRule="auto"/>
          </w:pPr>
          <w:r>
            <w:rPr>
              <w:rFonts w:ascii="Georgia" w:hAnsi="Georgia"/>
              <w:b/>
              <w:color w:val="0B2E6D"/>
              <w:sz w:val="44"/>
            </w:rPr>
            <w:t>ABHIRAM GROUP</w:t>
          </w:r>
        </w:p>
        <w:p>
          <w:pPr>
            <w:spacing w:before="0" w:after="0" w:line="240" w:lineRule="auto"/>
          </w:pPr>
          <w:r>
            <w:rPr>
              <w:rFonts w:ascii="Aptos" w:hAnsi="Aptos"/>
              <w:b w:val="0"/>
              <w:color w:val="5B6572"/>
              <w:sz w:val="18"/>
            </w:rPr>
            <w:t>P R O P R I E T O R   F I R M</w:t>
          </w:r>
        </w:p>
        <w:p>
          <w:pPr>
            <w:spacing w:before="40" w:after="0" w:line="240" w:lineRule="auto"/>
          </w:pPr>
          <w:r>
            <w:rPr>
              <w:rFonts w:ascii="Aptos" w:hAnsi="Aptos"/>
              <w:b/>
              <w:color w:val="0B4FA8"/>
              <w:sz w:val="18"/>
            </w:rPr>
            <w:t xml:space="preserve">Proprietor: </w:t>
          </w:r>
          <w:r>
            <w:rPr>
              <w:rFonts w:ascii="Aptos" w:hAnsi="Aptos"/>
              <w:b w:val="0"/>
              <w:color w:val="303844"/>
              <w:sz w:val="18"/>
            </w:rPr>
            <w:t>Ravi Shanker Vidapalapati</w:t>
          </w:r>
        </w:p>
      </w:tc>
      <w:tc>
        <w:tcPr>
          <w:tcW w:type="dxa" w:w="3499"/>
          <w:vAlign w:val="center"/>
          <w:tcMar>
            <w:top w:w="30" w:type="dxa"/>
            <w:start w:w="40" w:type="dxa"/>
            <w:bottom w:w="20" w:type="dxa"/>
            <w:end w:w="50" w:type="dxa"/>
          </w:tcMar>
          <w:tcBorders>
            <w:top w:val="nil"/>
            <w:left w:val="nil"/>
            <w:bottom w:val="nil"/>
            <w:right w:val="nil"/>
          </w:tcBorders>
        </w:tcPr>
        <w:p>
          <w:pPr>
            <w:spacing w:before="0" w:after="0" w:line="240" w:lineRule="auto"/>
          </w:pPr>
          <w:r>
            <w:rPr>
              <w:rFonts w:ascii="Aptos" w:hAnsi="Aptos"/>
              <w:b/>
              <w:color w:val="FFFFFF"/>
              <w:sz w:val="15"/>
              <w:shd w:fill="0B4FA8"/>
            </w:rPr>
            <w:t xml:space="preserve">M  </w:t>
          </w:r>
          <w:r>
            <w:rPr>
              <w:rFonts w:ascii="Aptos" w:hAnsi="Aptos"/>
              <w:b w:val="0"/>
              <w:color w:val="303844"/>
              <w:sz w:val="16"/>
            </w:rPr>
            <w:t>+91 7416516574</w:t>
          </w:r>
        </w:p>
        <w:p>
          <w:pPr>
            <w:spacing w:before="20" w:after="0" w:line="240" w:lineRule="auto"/>
          </w:pPr>
          <w:r>
            <w:rPr>
              <w:rFonts w:ascii="Aptos" w:hAnsi="Aptos"/>
              <w:b/>
              <w:color w:val="FFFFFF"/>
              <w:sz w:val="15"/>
              <w:shd w:fill="0B4FA8"/>
            </w:rPr>
            <w:t xml:space="preserve">E  </w:t>
          </w:r>
          <w:hyperlink r:id="rId2">
            <w:r>
              <w:rPr>
                <w:rFonts w:ascii="Aptos" w:hAnsi="Aptos"/>
                <w:color w:val="303844"/>
                <w:sz w:val="16"/>
                <w:szCs w:val="16"/>
                <w:u w:val="none"/>
              </w:rPr>
              <w:t>info@abhiraminc.com</w:t>
            </w:r>
          </w:hyperlink>
        </w:p>
        <w:p>
          <w:pPr>
            <w:spacing w:before="20" w:after="0" w:line="240" w:lineRule="auto"/>
          </w:pPr>
          <w:r>
            <w:rPr>
              <w:rFonts w:ascii="Aptos" w:hAnsi="Aptos"/>
              <w:b/>
              <w:color w:val="FFFFFF"/>
              <w:sz w:val="15"/>
              <w:shd w:fill="0B4FA8"/>
            </w:rPr>
            <w:t xml:space="preserve">W  </w:t>
          </w:r>
          <w:hyperlink r:id="rId3">
            <w:r>
              <w:rPr>
                <w:rFonts w:ascii="Aptos" w:hAnsi="Aptos"/>
                <w:color w:val="303844"/>
                <w:sz w:val="16"/>
                <w:szCs w:val="16"/>
                <w:u w:val="none"/>
              </w:rPr>
              <w:t>www.abhiraminc.com</w:t>
            </w:r>
          </w:hyperlink>
        </w:p>
        <w:p>
          <w:pPr>
            <w:spacing w:before="20" w:after="0" w:line="240" w:lineRule="auto"/>
          </w:pPr>
          <w:r>
            <w:rPr>
              <w:rFonts w:ascii="Aptos" w:hAnsi="Aptos"/>
              <w:b/>
              <w:color w:val="FFFFFF"/>
              <w:sz w:val="15"/>
              <w:shd w:fill="0B4FA8"/>
            </w:rPr>
            <w:t xml:space="preserve">A  </w:t>
          </w:r>
          <w:r>
            <w:rPr>
              <w:rFonts w:ascii="Aptos" w:hAnsi="Aptos"/>
              <w:b w:val="0"/>
              <w:color w:val="303844"/>
              <w:sz w:val="16"/>
            </w:rPr>
            <w:t>Flat No 401, Iland Villa,</w:t>
            <w:br/>
            <w:t>Prasanthi Nagar, Kapra,</w:t>
            <w:br/>
            <w:t>Hyderabad - 500062</w:t>
          </w:r>
        </w:p>
      </w:tc>
    </w:tr>
  </w:tbl>
  <w:p>
    <w:pPr>
      <w:spacing w:before="60" w:after="0" w:line="240" w:lineRule="auto"/>
    </w:pPr>
  </w:p>
  <w:tbl>
    <w:tblPr>
      <w:tblW w:type="auto" w:w="0"/>
      <w:jc w:val="center"/>
      <w:tblLayout w:type="fixed"/>
      <w:tblLook w:firstColumn="1" w:firstRow="1" w:lastColumn="0" w:lastRow="0" w:noHBand="0" w:noVBand="1" w:val="04A0"/>
    </w:tblPr>
    <w:tblGrid>
      <w:gridCol w:w="9677"/>
      <w:gridCol w:w="936"/>
    </w:tblGrid>
    <w:tr>
      <w:tc>
        <w:tcPr>
          <w:tcW w:type="dxa" w:w="5305"/>
          <w:tcMar>
            <w:top w:w="0" w:type="dxa"/>
            <w:start w:w="0" w:type="dxa"/>
            <w:bottom w:w="0" w:type="dxa"/>
            <w:end w:w="0" w:type="dxa"/>
          </w:tcMar>
          <w:shd w:fill="0B4FA8"/>
          <w:tcBorders>
            <w:top w:val="nil"/>
            <w:left w:val="nil"/>
            <w:bottom w:val="nil"/>
            <w:right w:val="nil"/>
          </w:tcBorders>
        </w:tcPr>
        <w:p>
          <w:pPr>
            <w:spacing w:before="0" w:after="0" w:line="240" w:lineRule="auto"/>
          </w:pPr>
          <w:r>
            <w:rPr>
              <w:sz w:val="2"/>
            </w:rPr>
            <w:t xml:space="preserve"> </w:t>
          </w:r>
        </w:p>
      </w:tc>
      <w:tc>
        <w:tcPr>
          <w:tcW w:type="dxa" w:w="5305"/>
          <w:tcMar>
            <w:top w:w="0" w:type="dxa"/>
            <w:start w:w="0" w:type="dxa"/>
            <w:bottom w:w="0" w:type="dxa"/>
            <w:end w:w="0" w:type="dxa"/>
          </w:tcMar>
          <w:shd w:fill="B7C0CB"/>
          <w:tcBorders>
            <w:top w:val="nil"/>
            <w:left w:val="nil"/>
            <w:bottom w:val="nil"/>
            <w:right w:val="nil"/>
          </w:tcBorders>
        </w:tcPr>
        <w:p>
          <w:pPr>
            <w:spacing w:before="0" w:after="0" w:line="240" w:lineRule="auto"/>
          </w:pPr>
          <w:r>
            <w:rPr>
              <w:sz w:val="2"/>
            </w:rPr>
            <w:t xml:space="preserve"> </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0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83A8B"/>
      <w:sz w:val="2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83A8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83076"/>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info@abhiraminc.com" TargetMode="External"/><Relationship Id="rId3" Type="http://schemas.openxmlformats.org/officeDocument/2006/relationships/hyperlink" Target="https://abhiramin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Abhiram Group Letterhead</dc:title>
  <dc:subject>Official letterhead for Abhiram Group</dc:subject>
  <dc:creator>Abhiram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