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9BD9B1">
      <w:pPr>
        <w:spacing w:line="480" w:lineRule="exact"/>
        <w:rPr>
          <w:sz w:val="24"/>
        </w:rPr>
      </w:pPr>
      <w:bookmarkStart w:id="0" w:name="_GoBack"/>
      <w:bookmarkEnd w:id="0"/>
    </w:p>
    <w:p w14:paraId="32FD802F">
      <w:pPr>
        <w:spacing w:line="1480" w:lineRule="exact"/>
        <w:jc w:val="center"/>
        <w:rPr>
          <w:rFonts w:eastAsia="楷体_GB2312"/>
          <w:b/>
          <w:bCs/>
          <w:spacing w:val="40"/>
          <w:sz w:val="72"/>
        </w:rPr>
      </w:pPr>
      <w:r>
        <w:rPr>
          <w:rFonts w:eastAsia="楷体_GB2312"/>
          <w:b/>
          <w:bCs/>
          <w:spacing w:val="40"/>
          <w:sz w:val="72"/>
        </w:rPr>
        <w:t>中山大学</w:t>
      </w:r>
    </w:p>
    <w:p w14:paraId="4953712E">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67EB7787">
      <w:pPr>
        <w:spacing w:line="1480" w:lineRule="exact"/>
        <w:jc w:val="center"/>
        <w:rPr>
          <w:sz w:val="52"/>
        </w:rPr>
      </w:pPr>
    </w:p>
    <w:p w14:paraId="1FDD4BDB">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70F213DC">
      <w:pPr>
        <w:spacing w:line="480" w:lineRule="exact"/>
        <w:ind w:firstLine="2127" w:firstLineChars="709"/>
        <w:rPr>
          <w:rFonts w:eastAsia="黑体"/>
          <w:sz w:val="30"/>
          <w:u w:val="single"/>
        </w:rPr>
      </w:pPr>
    </w:p>
    <w:p w14:paraId="6B7FF24D">
      <w:pPr>
        <w:spacing w:line="480" w:lineRule="exact"/>
        <w:ind w:firstLine="2127" w:firstLineChars="709"/>
        <w:rPr>
          <w:sz w:val="30"/>
          <w:u w:val="single"/>
        </w:rPr>
      </w:pPr>
      <w:r>
        <w:rPr>
          <w:rFonts w:eastAsia="黑体"/>
          <w:sz w:val="30"/>
        </w:rPr>
        <w:t>课程名称</w:t>
      </w:r>
      <w:r>
        <w:rPr>
          <w:rFonts w:eastAsia="黑体"/>
          <w:sz w:val="30"/>
          <w:u w:val="single"/>
        </w:rPr>
        <w:t xml:space="preserve"> 信息伦理与政策</w:t>
      </w:r>
    </w:p>
    <w:p w14:paraId="157EAFA7">
      <w:pPr>
        <w:spacing w:line="900" w:lineRule="exact"/>
        <w:ind w:firstLine="3600" w:firstLineChars="1200"/>
        <w:rPr>
          <w:sz w:val="30"/>
        </w:rPr>
      </w:pPr>
    </w:p>
    <w:p w14:paraId="3DDBF755">
      <w:pPr>
        <w:spacing w:line="900" w:lineRule="exact"/>
        <w:jc w:val="center"/>
        <w:rPr>
          <w:rFonts w:eastAsia="仿宋_GB2312"/>
          <w:b/>
          <w:bCs/>
          <w:kern w:val="28"/>
          <w:sz w:val="32"/>
          <w:szCs w:val="32"/>
        </w:rPr>
      </w:pPr>
    </w:p>
    <w:p w14:paraId="6CDA27AA">
      <w:pPr>
        <w:spacing w:line="900" w:lineRule="exact"/>
        <w:jc w:val="center"/>
        <w:rPr>
          <w:rFonts w:eastAsia="仿宋_GB2312"/>
          <w:b/>
          <w:bCs/>
          <w:kern w:val="28"/>
          <w:sz w:val="32"/>
          <w:szCs w:val="32"/>
        </w:rPr>
      </w:pPr>
    </w:p>
    <w:p w14:paraId="0AF3B30F">
      <w:pPr>
        <w:spacing w:line="900" w:lineRule="exact"/>
        <w:jc w:val="center"/>
        <w:rPr>
          <w:rFonts w:eastAsia="仿宋_GB2312"/>
          <w:b/>
          <w:bCs/>
          <w:kern w:val="28"/>
          <w:sz w:val="32"/>
          <w:szCs w:val="32"/>
        </w:rPr>
      </w:pPr>
    </w:p>
    <w:p w14:paraId="4E49FCB2">
      <w:pPr>
        <w:spacing w:line="900" w:lineRule="exact"/>
        <w:jc w:val="center"/>
        <w:rPr>
          <w:rFonts w:eastAsia="仿宋_GB2312"/>
          <w:b/>
          <w:bCs/>
          <w:kern w:val="28"/>
          <w:sz w:val="32"/>
          <w:szCs w:val="32"/>
        </w:rPr>
      </w:pPr>
    </w:p>
    <w:p w14:paraId="01E1A2BA">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1FB2528E">
      <w:pPr>
        <w:spacing w:line="900" w:lineRule="exact"/>
        <w:jc w:val="center"/>
        <w:rPr>
          <w:rFonts w:ascii="仿宋_GB2312" w:hAnsi="仿宋_GB2312" w:eastAsia="仿宋_GB2312" w:cs="仿宋_GB2312"/>
          <w:b/>
          <w:bCs/>
          <w:kern w:val="28"/>
          <w:sz w:val="32"/>
          <w:szCs w:val="32"/>
        </w:rPr>
      </w:pPr>
    </w:p>
    <w:p w14:paraId="01038BA3">
      <w:pPr>
        <w:spacing w:line="900" w:lineRule="exact"/>
        <w:jc w:val="center"/>
        <w:rPr>
          <w:rFonts w:hint="eastAsia" w:ascii="仿宋_GB2312" w:hAnsi="仿宋_GB2312" w:eastAsia="仿宋_GB2312" w:cs="仿宋_GB2312"/>
          <w:b/>
          <w:bCs/>
          <w:kern w:val="28"/>
          <w:sz w:val="32"/>
          <w:szCs w:val="32"/>
        </w:rPr>
      </w:pPr>
    </w:p>
    <w:p w14:paraId="3710D9FE">
      <w:pPr>
        <w:spacing w:line="900" w:lineRule="exact"/>
        <w:jc w:val="center"/>
        <w:rPr>
          <w:rFonts w:hint="eastAsia" w:eastAsia="仿宋_GB2312"/>
          <w:b/>
          <w:bCs/>
          <w:kern w:val="28"/>
          <w:sz w:val="32"/>
          <w:szCs w:val="32"/>
        </w:rPr>
      </w:pPr>
    </w:p>
    <w:p w14:paraId="0B8A530A">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630026AD">
      <w:pPr>
        <w:pStyle w:val="2"/>
        <w:spacing w:line="480" w:lineRule="exact"/>
        <w:ind w:firstLine="0" w:firstLineChars="0"/>
        <w:jc w:val="center"/>
        <w:rPr>
          <w:rFonts w:eastAsia="宋体"/>
          <w:sz w:val="24"/>
        </w:rPr>
      </w:pPr>
      <w:r>
        <w:rPr>
          <w:rFonts w:eastAsia="宋体"/>
          <w:sz w:val="24"/>
        </w:rPr>
        <w:t>（编写日期：2025年06月）</w:t>
      </w:r>
    </w:p>
    <w:p w14:paraId="4F116213">
      <w:pPr>
        <w:pStyle w:val="2"/>
        <w:spacing w:line="480" w:lineRule="exact"/>
        <w:ind w:firstLine="0" w:firstLineChars="0"/>
        <w:jc w:val="center"/>
        <w:rPr>
          <w:rFonts w:eastAsia="宋体"/>
          <w:sz w:val="24"/>
        </w:rPr>
      </w:pPr>
    </w:p>
    <w:p w14:paraId="63F79135">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3D60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7468DBCE">
            <w:pPr>
              <w:pStyle w:val="2"/>
              <w:spacing w:line="480" w:lineRule="exact"/>
              <w:ind w:firstLine="0" w:firstLineChars="0"/>
              <w:jc w:val="center"/>
              <w:rPr>
                <w:rFonts w:eastAsia="宋体"/>
                <w:sz w:val="24"/>
              </w:rPr>
            </w:pPr>
          </w:p>
          <w:p w14:paraId="77A769AD">
            <w:pPr>
              <w:pStyle w:val="2"/>
              <w:adjustRightInd w:val="0"/>
              <w:snapToGrid w:val="0"/>
              <w:ind w:firstLine="0" w:firstLineChars="0"/>
              <w:jc w:val="center"/>
              <w:rPr>
                <w:rFonts w:eastAsia="宋体"/>
                <w:sz w:val="24"/>
                <w:lang w:val="en-US" w:eastAsia="zh-CN"/>
              </w:rPr>
            </w:pPr>
            <w:r>
              <w:rPr>
                <w:rFonts w:eastAsia="宋体"/>
                <w:sz w:val="24"/>
                <w:lang w:val="en-US" w:eastAsia="zh-CN"/>
              </w:rPr>
              <w:t>信息伦理与政策</w:t>
            </w:r>
          </w:p>
          <w:p w14:paraId="68498423">
            <w:pPr>
              <w:pStyle w:val="2"/>
              <w:adjustRightInd w:val="0"/>
              <w:snapToGrid w:val="0"/>
              <w:ind w:firstLine="0" w:firstLineChars="0"/>
              <w:jc w:val="center"/>
              <w:rPr>
                <w:rFonts w:eastAsia="宋体"/>
                <w:sz w:val="24"/>
                <w:lang w:val="en-US" w:eastAsia="zh-CN"/>
              </w:rPr>
            </w:pPr>
            <w:r>
              <w:rPr>
                <w:rFonts w:eastAsia="宋体"/>
                <w:sz w:val="24"/>
                <w:lang w:val="en-US" w:eastAsia="zh-CN"/>
              </w:rPr>
              <w:t>Information Ethics &amp; Policies</w:t>
            </w:r>
          </w:p>
          <w:p w14:paraId="2716B8E6">
            <w:pPr>
              <w:pStyle w:val="2"/>
              <w:spacing w:line="480" w:lineRule="exact"/>
              <w:ind w:firstLine="0" w:firstLineChars="0"/>
              <w:jc w:val="center"/>
              <w:rPr>
                <w:rFonts w:eastAsia="宋体"/>
                <w:sz w:val="24"/>
              </w:rPr>
            </w:pPr>
          </w:p>
        </w:tc>
      </w:tr>
      <w:tr w14:paraId="35CF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0672AB2D">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2A057352">
            <w:pPr>
              <w:jc w:val="center"/>
              <w:rPr>
                <w:sz w:val="24"/>
              </w:rPr>
            </w:pPr>
            <w:r>
              <w:rPr>
                <w:rFonts w:hint="eastAsia" w:eastAsia="宋体"/>
                <w:sz w:val="24"/>
                <w:lang w:val="en-US" w:eastAsia="zh-CN"/>
              </w:rPr>
              <w:t>专必</w:t>
            </w:r>
          </w:p>
        </w:tc>
        <w:tc>
          <w:tcPr>
            <w:tcW w:w="1598" w:type="dxa"/>
            <w:vAlign w:val="center"/>
          </w:tcPr>
          <w:p w14:paraId="06787611">
            <w:pPr>
              <w:rPr>
                <w:sz w:val="24"/>
              </w:rPr>
            </w:pPr>
            <w:r>
              <w:rPr>
                <w:sz w:val="24"/>
              </w:rPr>
              <w:t>课程编码</w:t>
            </w:r>
          </w:p>
        </w:tc>
        <w:tc>
          <w:tcPr>
            <w:tcW w:w="1435" w:type="dxa"/>
            <w:vAlign w:val="center"/>
          </w:tcPr>
          <w:p w14:paraId="5C5A069C">
            <w:pPr>
              <w:jc w:val="center"/>
              <w:rPr>
                <w:sz w:val="24"/>
              </w:rPr>
            </w:pPr>
            <w:r>
              <w:rPr>
                <w:sz w:val="24"/>
              </w:rPr>
              <w:t>IM122</w:t>
            </w:r>
          </w:p>
        </w:tc>
        <w:tc>
          <w:tcPr>
            <w:tcW w:w="1400" w:type="dxa"/>
            <w:vAlign w:val="center"/>
          </w:tcPr>
          <w:p w14:paraId="567B2491">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1CBAF3F9">
            <w:pPr>
              <w:jc w:val="center"/>
              <w:rPr>
                <w:sz w:val="24"/>
              </w:rPr>
            </w:pPr>
            <w:r>
              <w:rPr>
                <w:rFonts w:eastAsia="宋体"/>
                <w:sz w:val="24"/>
                <w:lang w:val="en-US" w:eastAsia="zh-CN"/>
              </w:rPr>
              <w:t>信息管理学院</w:t>
            </w:r>
          </w:p>
        </w:tc>
      </w:tr>
      <w:tr w14:paraId="01EF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0D5E719">
            <w:pPr>
              <w:jc w:val="center"/>
              <w:rPr>
                <w:sz w:val="24"/>
              </w:rPr>
            </w:pPr>
            <w:r>
              <w:rPr>
                <w:sz w:val="24"/>
              </w:rPr>
              <w:t>学分</w:t>
            </w:r>
          </w:p>
        </w:tc>
        <w:tc>
          <w:tcPr>
            <w:tcW w:w="1379" w:type="dxa"/>
            <w:vAlign w:val="center"/>
          </w:tcPr>
          <w:p w14:paraId="726E64C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4B36FB72">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5BA7A57E">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53A68759">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108016EE">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7365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17DBC231">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31EE524D">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Science,档案学Archival Science</w:t>
            </w:r>
          </w:p>
        </w:tc>
      </w:tr>
      <w:tr w14:paraId="1448D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F321C63">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38A066BA">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唐琼</w:t>
            </w:r>
          </w:p>
        </w:tc>
      </w:tr>
      <w:tr w14:paraId="3043E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27BC8DC">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1181AD66">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信息管理学基础</w:t>
            </w:r>
          </w:p>
        </w:tc>
      </w:tr>
      <w:tr w14:paraId="5F979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59BEE786">
            <w:pPr>
              <w:pStyle w:val="2"/>
              <w:spacing w:line="480" w:lineRule="exact"/>
              <w:ind w:firstLine="0" w:firstLineChars="0"/>
              <w:jc w:val="center"/>
              <w:rPr>
                <w:rFonts w:eastAsia="宋体"/>
                <w:sz w:val="24"/>
                <w:lang w:val="en-US" w:eastAsia="zh-CN"/>
              </w:rPr>
            </w:pPr>
          </w:p>
          <w:p w14:paraId="6D2CF8C0">
            <w:pPr>
              <w:pStyle w:val="2"/>
              <w:spacing w:line="480" w:lineRule="exact"/>
              <w:ind w:firstLine="0" w:firstLineChars="0"/>
              <w:jc w:val="center"/>
              <w:rPr>
                <w:rFonts w:eastAsia="宋体"/>
                <w:sz w:val="24"/>
                <w:lang w:val="en-US" w:eastAsia="zh-CN"/>
              </w:rPr>
            </w:pPr>
          </w:p>
          <w:p w14:paraId="4BE49528">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6DB11FE2">
            <w:pPr>
              <w:pStyle w:val="2"/>
              <w:spacing w:line="480" w:lineRule="exact"/>
              <w:ind w:firstLine="0" w:firstLineChars="0"/>
              <w:jc w:val="center"/>
              <w:rPr>
                <w:rFonts w:eastAsia="宋体"/>
                <w:sz w:val="24"/>
                <w:lang w:val="en-US" w:eastAsia="zh-CN"/>
              </w:rPr>
            </w:pPr>
          </w:p>
          <w:p w14:paraId="4BB86F67">
            <w:pPr>
              <w:pStyle w:val="2"/>
              <w:spacing w:line="480" w:lineRule="exact"/>
              <w:ind w:firstLine="0" w:firstLineChars="0"/>
              <w:jc w:val="center"/>
              <w:rPr>
                <w:rFonts w:eastAsia="宋体"/>
                <w:sz w:val="24"/>
                <w:lang w:val="en-US" w:eastAsia="zh-CN"/>
              </w:rPr>
            </w:pPr>
          </w:p>
        </w:tc>
        <w:tc>
          <w:tcPr>
            <w:tcW w:w="7157" w:type="dxa"/>
            <w:gridSpan w:val="5"/>
            <w:vAlign w:val="center"/>
          </w:tcPr>
          <w:p w14:paraId="595108AF">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通过本课程的教学，培养学生具备基本信息伦理素养和内在伦理规范，形成信息职业操守，既具有个人的小德，也具有国家、社会的大德；通过对我国与国际信息政策发展脉络及内容的梳理分析与比较，帮助学生树立价值观自信，坚定道路自信、理论自信、制度自信与文化自信，从而实现立德树人的根本目标。</w:t>
            </w:r>
          </w:p>
          <w:p w14:paraId="76D8150D">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（1） 正确理解信息伦理的概念、特征和作用；</w:t>
            </w:r>
          </w:p>
          <w:p w14:paraId="4C92E040">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（2） 掌握我国及国际信息政策的体系、制定背景及发展趋势；</w:t>
            </w:r>
          </w:p>
          <w:p w14:paraId="328D19FF">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（3） 掌握信息法律制度的主要内容，包括网络安全法、数据安全法、个人信息保护法、政府信息公开法等。</w:t>
            </w:r>
          </w:p>
          <w:p w14:paraId="1FA6DA6C">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（4） 能够从信息伦理的角度分析问题；能够运用信息政策、信息法律的知识分析、解决具体问题。</w:t>
            </w:r>
          </w:p>
        </w:tc>
      </w:tr>
    </w:tbl>
    <w:p w14:paraId="215624E0">
      <w:pPr>
        <w:spacing w:line="480" w:lineRule="exact"/>
        <w:ind w:firstLine="480" w:firstLineChars="200"/>
        <w:rPr>
          <w:sz w:val="24"/>
        </w:rPr>
      </w:pPr>
    </w:p>
    <w:p w14:paraId="28BF007C">
      <w:pPr>
        <w:spacing w:line="480" w:lineRule="exact"/>
        <w:ind w:firstLine="480" w:firstLineChars="200"/>
        <w:rPr>
          <w:sz w:val="24"/>
        </w:rPr>
      </w:pPr>
      <w:r>
        <w:rPr>
          <w:sz w:val="24"/>
        </w:rPr>
        <w:t>二、课程基本内容（要求有一定的字数，不能过于简单）</w:t>
      </w:r>
    </w:p>
    <w:p w14:paraId="0EA45429">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69"/>
        <w:gridCol w:w="1261"/>
        <w:gridCol w:w="1135"/>
        <w:gridCol w:w="1261"/>
        <w:gridCol w:w="1263"/>
        <w:gridCol w:w="911"/>
        <w:gridCol w:w="1135"/>
      </w:tblGrid>
      <w:tr w14:paraId="772CE6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3324A830">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447B4716">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280D0698">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05550B80">
            <w:pPr>
              <w:jc w:val="center"/>
              <w:rPr>
                <w:rFonts w:hint="eastAsia"/>
                <w:b/>
                <w:bCs/>
                <w:sz w:val="24"/>
                <w:szCs w:val="20"/>
              </w:rPr>
            </w:pPr>
            <w:r>
              <w:rPr>
                <w:rFonts w:hint="eastAsia" w:ascii="24x12 宋体"/>
                <w:b/>
                <w:bCs/>
                <w:sz w:val="24"/>
                <w:szCs w:val="20"/>
              </w:rPr>
              <w:t>育人元素</w:t>
            </w:r>
          </w:p>
        </w:tc>
        <w:tc>
          <w:tcPr>
            <w:tcW w:w="1920" w:type="dxa"/>
            <w:vAlign w:val="center"/>
          </w:tcPr>
          <w:p w14:paraId="189AA375">
            <w:pPr>
              <w:jc w:val="center"/>
              <w:rPr>
                <w:rFonts w:hint="eastAsia"/>
                <w:b/>
                <w:bCs/>
                <w:sz w:val="24"/>
                <w:szCs w:val="20"/>
              </w:rPr>
            </w:pPr>
            <w:r>
              <w:rPr>
                <w:rFonts w:hint="eastAsia" w:ascii="24x12 宋体"/>
                <w:b/>
                <w:bCs/>
                <w:sz w:val="24"/>
                <w:szCs w:val="20"/>
              </w:rPr>
              <w:t>重点、难点(选填)</w:t>
            </w:r>
          </w:p>
        </w:tc>
        <w:tc>
          <w:tcPr>
            <w:tcW w:w="1419" w:type="dxa"/>
            <w:vAlign w:val="center"/>
          </w:tcPr>
          <w:p w14:paraId="6C359669">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552348D1">
            <w:pPr>
              <w:jc w:val="center"/>
              <w:rPr>
                <w:rFonts w:hint="eastAsia"/>
                <w:b/>
                <w:bCs/>
                <w:sz w:val="24"/>
                <w:szCs w:val="20"/>
              </w:rPr>
            </w:pPr>
            <w:r>
              <w:rPr>
                <w:rFonts w:hint="eastAsia" w:ascii="24x12 宋体"/>
                <w:b/>
                <w:bCs/>
                <w:sz w:val="24"/>
                <w:szCs w:val="20"/>
              </w:rPr>
              <w:t>备注(选填)</w:t>
            </w:r>
          </w:p>
        </w:tc>
      </w:tr>
      <w:tr w14:paraId="259D3A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8F4BABE">
            <w:pPr>
              <w:rPr>
                <w:rFonts w:ascii="宋体" w:hAnsi="宋体" w:eastAsia="宋体"/>
                <w:sz w:val="24"/>
                <w:szCs w:val="24"/>
              </w:rPr>
            </w:pPr>
            <w:r>
              <w:rPr>
                <w:rFonts w:hint="eastAsia" w:ascii="宋体" w:hAnsi="宋体" w:eastAsia="宋体"/>
                <w:sz w:val="24"/>
                <w:szCs w:val="24"/>
              </w:rPr>
              <w:t>第1章信息活动的双重规范及其相互关系（一）</w:t>
            </w:r>
          </w:p>
          <w:p w14:paraId="14B948DC">
            <w:pPr>
              <w:rPr>
                <w:rFonts w:ascii="宋体" w:hAnsi="宋体" w:eastAsia="宋体"/>
                <w:sz w:val="24"/>
                <w:szCs w:val="24"/>
              </w:rPr>
            </w:pPr>
            <w:r>
              <w:rPr>
                <w:rFonts w:hint="eastAsia" w:ascii="宋体" w:hAnsi="宋体" w:eastAsia="宋体"/>
                <w:sz w:val="24"/>
                <w:szCs w:val="24"/>
              </w:rPr>
              <w:t>1.1 学习信息伦理、政策与法律的背景</w:t>
            </w:r>
          </w:p>
          <w:p w14:paraId="719DC194">
            <w:pPr>
              <w:rPr>
                <w:rFonts w:ascii="宋体" w:hAnsi="宋体" w:eastAsia="宋体"/>
                <w:sz w:val="24"/>
                <w:szCs w:val="24"/>
              </w:rPr>
            </w:pPr>
            <w:r>
              <w:rPr>
                <w:rFonts w:hint="eastAsia" w:ascii="宋体" w:hAnsi="宋体" w:eastAsia="宋体"/>
                <w:sz w:val="24"/>
                <w:szCs w:val="24"/>
              </w:rPr>
              <w:t>1.2 课程介绍</w:t>
            </w:r>
          </w:p>
          <w:p w14:paraId="028F6023">
            <w:pPr>
              <w:rPr>
                <w:rFonts w:ascii="宋体" w:hAnsi="宋体" w:eastAsia="宋体"/>
                <w:sz w:val="24"/>
                <w:szCs w:val="24"/>
              </w:rPr>
            </w:pPr>
            <w:r>
              <w:rPr>
                <w:rFonts w:hint="eastAsia" w:ascii="宋体" w:hAnsi="宋体" w:eastAsia="宋体"/>
                <w:sz w:val="24"/>
                <w:szCs w:val="24"/>
              </w:rPr>
              <w:t>1.3 何谓信息伦理、政策与法律</w:t>
            </w:r>
          </w:p>
          <w:p w14:paraId="24FECFDF">
            <w:pPr>
              <w:rPr>
                <w:rFonts w:ascii="宋体" w:hAnsi="宋体" w:eastAsia="宋体"/>
                <w:sz w:val="24"/>
                <w:szCs w:val="24"/>
              </w:rPr>
            </w:pPr>
            <w:r>
              <w:rPr>
                <w:rFonts w:hint="eastAsia" w:ascii="宋体" w:hAnsi="宋体" w:eastAsia="宋体"/>
                <w:sz w:val="24"/>
                <w:szCs w:val="24"/>
              </w:rPr>
              <w:t>1.4 信息政策与法律的理论建构</w:t>
            </w:r>
          </w:p>
          <w:p w14:paraId="4D1FCAF6">
            <w:pPr>
              <w:rPr>
                <w:rFonts w:ascii="宋体" w:hAnsi="宋体" w:eastAsia="宋体"/>
                <w:sz w:val="24"/>
                <w:szCs w:val="24"/>
              </w:rPr>
            </w:pPr>
          </w:p>
        </w:tc>
        <w:tc>
          <w:tcPr>
            <w:tcW w:w="5096" w:type="dxa"/>
            <w:vAlign w:val="center"/>
          </w:tcPr>
          <w:p w14:paraId="07CBC5FD">
            <w:pPr>
              <w:rPr>
                <w:rFonts w:ascii="宋体" w:hAnsi="宋体" w:eastAsia="宋体"/>
                <w:sz w:val="24"/>
                <w:szCs w:val="24"/>
              </w:rPr>
            </w:pPr>
            <w:r>
              <w:rPr>
                <w:rFonts w:hint="eastAsia" w:ascii="宋体" w:hAnsi="宋体" w:eastAsia="宋体"/>
                <w:sz w:val="24"/>
                <w:szCs w:val="24"/>
              </w:rPr>
              <w:t>主要讲授学习信息伦理与政策的必要性，学习的重点及要解决的问题是什么；信息伦理与政策的基本概念，信息伦理与信息政策的关系、信息政策与法律的理论建构。</w:t>
            </w:r>
          </w:p>
        </w:tc>
        <w:tc>
          <w:tcPr>
            <w:tcW w:w="5096" w:type="dxa"/>
            <w:vAlign w:val="center"/>
          </w:tcPr>
          <w:p w14:paraId="7F993D76">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7AC0A043">
            <w:pPr>
              <w:rPr>
                <w:rFonts w:ascii="宋体" w:hAnsi="宋体" w:eastAsia="宋体"/>
                <w:sz w:val="24"/>
                <w:szCs w:val="24"/>
              </w:rPr>
            </w:pPr>
            <w:r>
              <w:rPr>
                <w:rFonts w:hint="eastAsia" w:ascii="宋体" w:hAnsi="宋体" w:eastAsia="宋体"/>
                <w:sz w:val="24"/>
                <w:szCs w:val="24"/>
              </w:rPr>
              <w:t>信息职业应树立正确的信息伦理观与价值观。重点讲述和讨论中华民族优秀的传统伦理道德对于树立正确的信息伦理观的重要指导意义，关注中华民族优秀的传统伦理道德在信息伦理与我国信息政策发展中的映射。</w:t>
            </w:r>
          </w:p>
        </w:tc>
        <w:tc>
          <w:tcPr>
            <w:tcW w:w="5096" w:type="dxa"/>
            <w:vAlign w:val="center"/>
          </w:tcPr>
          <w:p w14:paraId="29E2F23F">
            <w:pPr>
              <w:rPr>
                <w:rFonts w:ascii="宋体" w:hAnsi="宋体" w:eastAsia="宋体"/>
                <w:sz w:val="24"/>
                <w:szCs w:val="24"/>
              </w:rPr>
            </w:pPr>
            <w:r>
              <w:rPr>
                <w:rFonts w:hint="eastAsia" w:ascii="宋体" w:hAnsi="宋体" w:eastAsia="宋体"/>
                <w:sz w:val="24"/>
                <w:szCs w:val="24"/>
              </w:rPr>
              <w:t>重点：主要讲授学习信息伦理与政策要解决的问题是什么，信息伦理与政策的基本概念，信息伦理与信息政策的关系。</w:t>
            </w:r>
          </w:p>
          <w:p w14:paraId="7EFC1A7A">
            <w:pPr>
              <w:rPr>
                <w:rFonts w:ascii="宋体" w:hAnsi="宋体" w:eastAsia="宋体"/>
                <w:sz w:val="24"/>
                <w:szCs w:val="24"/>
              </w:rPr>
            </w:pPr>
            <w:r>
              <w:rPr>
                <w:rFonts w:hint="eastAsia" w:ascii="宋体" w:hAnsi="宋体" w:eastAsia="宋体"/>
                <w:sz w:val="24"/>
                <w:szCs w:val="24"/>
              </w:rPr>
              <w:t>难点：信息伦理与信息政策是如何分别对信息行为起到规范作用的。</w:t>
            </w:r>
          </w:p>
        </w:tc>
        <w:tc>
          <w:tcPr>
            <w:tcW w:w="1555" w:type="dxa"/>
            <w:vAlign w:val="center"/>
          </w:tcPr>
          <w:p w14:paraId="495A1F46">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6B537073">
            <w:pPr>
              <w:rPr>
                <w:rFonts w:ascii="宋体" w:hAnsi="宋体" w:eastAsia="宋体"/>
                <w:sz w:val="24"/>
                <w:szCs w:val="24"/>
              </w:rPr>
            </w:pPr>
            <w:r>
              <w:rPr>
                <w:rFonts w:hint="eastAsia" w:ascii="宋体" w:hAnsi="宋体" w:eastAsia="宋体"/>
                <w:sz w:val="24"/>
                <w:szCs w:val="24"/>
              </w:rPr>
              <w:t>唐琼</w:t>
            </w:r>
          </w:p>
        </w:tc>
      </w:tr>
      <w:tr w14:paraId="1E47B4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A219275">
            <w:pPr>
              <w:rPr>
                <w:rFonts w:ascii="宋体" w:hAnsi="宋体" w:eastAsia="宋体"/>
                <w:sz w:val="24"/>
                <w:szCs w:val="24"/>
              </w:rPr>
            </w:pPr>
            <w:r>
              <w:rPr>
                <w:rFonts w:hint="eastAsia" w:ascii="宋体" w:hAnsi="宋体" w:eastAsia="宋体"/>
                <w:sz w:val="24"/>
                <w:szCs w:val="24"/>
              </w:rPr>
              <w:t>第2章 信息伦理的功能与决策模式</w:t>
            </w:r>
          </w:p>
          <w:p w14:paraId="3231F983">
            <w:pPr>
              <w:rPr>
                <w:rFonts w:ascii="宋体" w:hAnsi="宋体" w:eastAsia="宋体"/>
                <w:sz w:val="24"/>
                <w:szCs w:val="24"/>
              </w:rPr>
            </w:pPr>
            <w:r>
              <w:rPr>
                <w:rFonts w:hint="eastAsia" w:ascii="宋体" w:hAnsi="宋体" w:eastAsia="宋体"/>
                <w:sz w:val="24"/>
                <w:szCs w:val="24"/>
              </w:rPr>
              <w:t>2.1 信息伦理的功能</w:t>
            </w:r>
          </w:p>
          <w:p w14:paraId="0ECB6228">
            <w:pPr>
              <w:rPr>
                <w:rFonts w:ascii="宋体" w:hAnsi="宋体" w:eastAsia="宋体"/>
                <w:sz w:val="24"/>
                <w:szCs w:val="24"/>
              </w:rPr>
            </w:pPr>
            <w:r>
              <w:rPr>
                <w:rFonts w:hint="eastAsia" w:ascii="宋体" w:hAnsi="宋体" w:eastAsia="宋体"/>
                <w:sz w:val="24"/>
                <w:szCs w:val="24"/>
              </w:rPr>
              <w:t>2.2 信息行为的伦理向度</w:t>
            </w:r>
          </w:p>
          <w:p w14:paraId="19EECD88">
            <w:pPr>
              <w:rPr>
                <w:rFonts w:ascii="宋体" w:hAnsi="宋体" w:eastAsia="宋体"/>
                <w:sz w:val="24"/>
                <w:szCs w:val="24"/>
              </w:rPr>
            </w:pPr>
            <w:r>
              <w:rPr>
                <w:rFonts w:hint="eastAsia" w:ascii="宋体" w:hAnsi="宋体" w:eastAsia="宋体"/>
                <w:sz w:val="24"/>
                <w:szCs w:val="24"/>
              </w:rPr>
              <w:t>2.3 影响信息伦理决策的因素</w:t>
            </w:r>
          </w:p>
          <w:p w14:paraId="7C4F0646">
            <w:pPr>
              <w:rPr>
                <w:rFonts w:ascii="宋体" w:hAnsi="宋体" w:eastAsia="宋体"/>
                <w:sz w:val="24"/>
                <w:szCs w:val="24"/>
              </w:rPr>
            </w:pPr>
            <w:r>
              <w:rPr>
                <w:rFonts w:hint="eastAsia" w:ascii="宋体" w:hAnsi="宋体" w:eastAsia="宋体"/>
                <w:sz w:val="24"/>
                <w:szCs w:val="24"/>
              </w:rPr>
              <w:t>2.4 信息伦理的决策模式</w:t>
            </w:r>
          </w:p>
        </w:tc>
        <w:tc>
          <w:tcPr>
            <w:tcW w:w="5096" w:type="dxa"/>
            <w:vAlign w:val="center"/>
          </w:tcPr>
          <w:p w14:paraId="2B634195">
            <w:pPr>
              <w:rPr>
                <w:rFonts w:ascii="宋体" w:hAnsi="宋体" w:eastAsia="宋体"/>
                <w:sz w:val="24"/>
                <w:szCs w:val="24"/>
              </w:rPr>
            </w:pPr>
            <w:r>
              <w:rPr>
                <w:rFonts w:hint="eastAsia" w:ascii="宋体" w:hAnsi="宋体" w:eastAsia="宋体"/>
                <w:sz w:val="24"/>
                <w:szCs w:val="24"/>
              </w:rPr>
              <w:t>结合案例讲述信息伦理的功能，分析影响信息伦理决策的因素及决策模式。</w:t>
            </w:r>
          </w:p>
        </w:tc>
        <w:tc>
          <w:tcPr>
            <w:tcW w:w="5096" w:type="dxa"/>
            <w:vAlign w:val="center"/>
          </w:tcPr>
          <w:p w14:paraId="25693E44">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0901BAAA">
            <w:pPr>
              <w:rPr>
                <w:rFonts w:ascii="宋体" w:hAnsi="宋体" w:eastAsia="宋体"/>
                <w:sz w:val="24"/>
                <w:szCs w:val="24"/>
              </w:rPr>
            </w:pPr>
            <w:r>
              <w:rPr>
                <w:rFonts w:hint="eastAsia" w:ascii="宋体" w:hAnsi="宋体" w:eastAsia="宋体"/>
                <w:sz w:val="24"/>
                <w:szCs w:val="24"/>
              </w:rPr>
              <w:t>正确应用信息伦理决策模式处理相关的信息伦理问题。</w:t>
            </w:r>
          </w:p>
        </w:tc>
        <w:tc>
          <w:tcPr>
            <w:tcW w:w="5096" w:type="dxa"/>
            <w:vAlign w:val="center"/>
          </w:tcPr>
          <w:p w14:paraId="4E15D32C">
            <w:pPr>
              <w:rPr>
                <w:rFonts w:ascii="宋体" w:hAnsi="宋体" w:eastAsia="宋体"/>
                <w:sz w:val="24"/>
                <w:szCs w:val="24"/>
              </w:rPr>
            </w:pPr>
            <w:r>
              <w:rPr>
                <w:rFonts w:hint="eastAsia" w:ascii="宋体" w:hAnsi="宋体" w:eastAsia="宋体"/>
                <w:sz w:val="24"/>
                <w:szCs w:val="24"/>
              </w:rPr>
              <w:t>重点：讲述信息伦理的功能，影响信息伦理决策的因素及决策模式。</w:t>
            </w:r>
          </w:p>
          <w:p w14:paraId="6D94B2A2">
            <w:pPr>
              <w:rPr>
                <w:rFonts w:ascii="宋体" w:hAnsi="宋体" w:eastAsia="宋体"/>
                <w:sz w:val="24"/>
                <w:szCs w:val="24"/>
              </w:rPr>
            </w:pPr>
            <w:r>
              <w:rPr>
                <w:rFonts w:hint="eastAsia" w:ascii="宋体" w:hAnsi="宋体" w:eastAsia="宋体"/>
                <w:sz w:val="24"/>
                <w:szCs w:val="24"/>
              </w:rPr>
              <w:t>难点：如何正确运用信息伦理的决策模式分析相关案例。</w:t>
            </w:r>
          </w:p>
        </w:tc>
        <w:tc>
          <w:tcPr>
            <w:tcW w:w="1555" w:type="dxa"/>
            <w:vAlign w:val="center"/>
          </w:tcPr>
          <w:p w14:paraId="7D2EA72F">
            <w:pPr>
              <w:jc w:val="center"/>
              <w:rPr>
                <w:rFonts w:ascii="宋体" w:hAnsi="宋体" w:eastAsia="宋体"/>
                <w:sz w:val="24"/>
                <w:szCs w:val="24"/>
              </w:rPr>
            </w:pPr>
            <w:r>
              <w:rPr>
                <w:rFonts w:hint="eastAsia" w:ascii="宋体" w:hAnsi="宋体" w:eastAsia="宋体"/>
                <w:sz w:val="24"/>
                <w:szCs w:val="24"/>
              </w:rPr>
              <w:t>第3,4 周</w:t>
            </w:r>
          </w:p>
        </w:tc>
        <w:tc>
          <w:tcPr>
            <w:tcW w:w="5096" w:type="dxa"/>
            <w:vAlign w:val="center"/>
          </w:tcPr>
          <w:p w14:paraId="63ED0620">
            <w:pPr>
              <w:rPr>
                <w:rFonts w:ascii="宋体" w:hAnsi="宋体" w:eastAsia="宋体"/>
                <w:sz w:val="24"/>
                <w:szCs w:val="24"/>
              </w:rPr>
            </w:pPr>
            <w:r>
              <w:rPr>
                <w:rFonts w:hint="eastAsia" w:ascii="宋体" w:hAnsi="宋体" w:eastAsia="宋体"/>
                <w:sz w:val="24"/>
                <w:szCs w:val="24"/>
              </w:rPr>
              <w:t>唐琼</w:t>
            </w:r>
          </w:p>
        </w:tc>
      </w:tr>
      <w:tr w14:paraId="0447CA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402B0EB">
            <w:pPr>
              <w:rPr>
                <w:rFonts w:ascii="宋体" w:hAnsi="宋体" w:eastAsia="宋体"/>
                <w:sz w:val="24"/>
                <w:szCs w:val="24"/>
              </w:rPr>
            </w:pPr>
            <w:r>
              <w:rPr>
                <w:rFonts w:hint="eastAsia" w:ascii="宋体" w:hAnsi="宋体" w:eastAsia="宋体"/>
                <w:sz w:val="24"/>
                <w:szCs w:val="24"/>
              </w:rPr>
              <w:t>第3章 我国数据安全治理的基本法律框架</w:t>
            </w:r>
          </w:p>
          <w:p w14:paraId="55675AB6">
            <w:pPr>
              <w:rPr>
                <w:rFonts w:ascii="宋体" w:hAnsi="宋体" w:eastAsia="宋体"/>
                <w:sz w:val="24"/>
                <w:szCs w:val="24"/>
              </w:rPr>
            </w:pPr>
            <w:r>
              <w:rPr>
                <w:rFonts w:hint="eastAsia" w:ascii="宋体" w:hAnsi="宋体" w:eastAsia="宋体"/>
                <w:sz w:val="24"/>
                <w:szCs w:val="24"/>
              </w:rPr>
              <w:t>3.1 数据安全治理的含义</w:t>
            </w:r>
          </w:p>
          <w:p w14:paraId="23ECAE37">
            <w:pPr>
              <w:rPr>
                <w:rFonts w:ascii="宋体" w:hAnsi="宋体" w:eastAsia="宋体"/>
                <w:sz w:val="24"/>
                <w:szCs w:val="24"/>
              </w:rPr>
            </w:pPr>
            <w:r>
              <w:rPr>
                <w:rFonts w:hint="eastAsia" w:ascii="宋体" w:hAnsi="宋体" w:eastAsia="宋体"/>
                <w:sz w:val="24"/>
                <w:szCs w:val="24"/>
              </w:rPr>
              <w:t>3.2 我国数据安全治理的基本法律框架</w:t>
            </w:r>
          </w:p>
          <w:p w14:paraId="6EAF7C42">
            <w:pPr>
              <w:rPr>
                <w:rFonts w:ascii="宋体" w:hAnsi="宋体" w:eastAsia="宋体"/>
                <w:sz w:val="24"/>
                <w:szCs w:val="24"/>
              </w:rPr>
            </w:pPr>
            <w:r>
              <w:rPr>
                <w:rFonts w:hint="eastAsia" w:ascii="宋体" w:hAnsi="宋体" w:eastAsia="宋体"/>
                <w:sz w:val="24"/>
                <w:szCs w:val="24"/>
              </w:rPr>
              <w:t>3.3 网络安全法</w:t>
            </w:r>
          </w:p>
          <w:p w14:paraId="7F81C479">
            <w:pPr>
              <w:rPr>
                <w:rFonts w:ascii="宋体" w:hAnsi="宋体" w:eastAsia="宋体"/>
                <w:sz w:val="24"/>
                <w:szCs w:val="24"/>
              </w:rPr>
            </w:pPr>
            <w:r>
              <w:rPr>
                <w:rFonts w:hint="eastAsia" w:ascii="宋体" w:hAnsi="宋体" w:eastAsia="宋体"/>
                <w:sz w:val="24"/>
                <w:szCs w:val="24"/>
              </w:rPr>
              <w:t>3.4 数据安全法</w:t>
            </w:r>
          </w:p>
          <w:p w14:paraId="11473079">
            <w:pPr>
              <w:rPr>
                <w:rFonts w:ascii="宋体" w:hAnsi="宋体" w:eastAsia="宋体"/>
                <w:sz w:val="24"/>
                <w:szCs w:val="24"/>
              </w:rPr>
            </w:pPr>
            <w:r>
              <w:rPr>
                <w:rFonts w:hint="eastAsia" w:ascii="宋体" w:hAnsi="宋体" w:eastAsia="宋体"/>
                <w:sz w:val="24"/>
                <w:szCs w:val="24"/>
              </w:rPr>
              <w:t>3.5 网络数据安全管理条例</w:t>
            </w:r>
          </w:p>
        </w:tc>
        <w:tc>
          <w:tcPr>
            <w:tcW w:w="5096" w:type="dxa"/>
            <w:vAlign w:val="center"/>
          </w:tcPr>
          <w:p w14:paraId="34EE3D6C">
            <w:pPr>
              <w:rPr>
                <w:rFonts w:ascii="宋体" w:hAnsi="宋体" w:eastAsia="宋体"/>
                <w:sz w:val="24"/>
                <w:szCs w:val="24"/>
              </w:rPr>
            </w:pPr>
            <w:r>
              <w:rPr>
                <w:rFonts w:hint="eastAsia" w:ascii="宋体" w:hAnsi="宋体" w:eastAsia="宋体"/>
                <w:sz w:val="24"/>
                <w:szCs w:val="24"/>
              </w:rPr>
              <w:t>讲授数据安全治理的含义及我国数据安全治理的基本法律框架。以《网络安全法》《数据安全法》《网络数据安全条例》为例，讲授国家数据安全政策内容、特点及影响。</w:t>
            </w:r>
          </w:p>
        </w:tc>
        <w:tc>
          <w:tcPr>
            <w:tcW w:w="5096" w:type="dxa"/>
            <w:vAlign w:val="center"/>
          </w:tcPr>
          <w:p w14:paraId="6CBA81EC">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CABE098">
            <w:pPr>
              <w:rPr>
                <w:rFonts w:ascii="宋体" w:hAnsi="宋体" w:eastAsia="宋体"/>
                <w:sz w:val="24"/>
                <w:szCs w:val="24"/>
              </w:rPr>
            </w:pPr>
            <w:r>
              <w:rPr>
                <w:rFonts w:hint="eastAsia" w:ascii="宋体" w:hAnsi="宋体" w:eastAsia="宋体"/>
                <w:sz w:val="24"/>
                <w:szCs w:val="24"/>
              </w:rPr>
              <w:t>明确国家数据安全法律规范建设对于保障人民安全、政治安全、经济安全、军事安全、文化安全、社会安全等的重要性。通过对我国与其他国家与地区国家安全法律规范发展脉络及内容的梳理分析与比较，帮助学生树立价值观自信，坚定道路自信、理论自信、制度自信与文化自信。</w:t>
            </w:r>
          </w:p>
        </w:tc>
        <w:tc>
          <w:tcPr>
            <w:tcW w:w="5096" w:type="dxa"/>
            <w:vAlign w:val="center"/>
          </w:tcPr>
          <w:p w14:paraId="1CD11DA9">
            <w:pPr>
              <w:rPr>
                <w:rFonts w:ascii="宋体" w:hAnsi="宋体" w:eastAsia="宋体"/>
                <w:sz w:val="24"/>
                <w:szCs w:val="24"/>
              </w:rPr>
            </w:pPr>
            <w:r>
              <w:rPr>
                <w:rFonts w:hint="eastAsia" w:ascii="宋体" w:hAnsi="宋体" w:eastAsia="宋体"/>
                <w:sz w:val="24"/>
                <w:szCs w:val="24"/>
              </w:rPr>
              <w:t>重点：讲授国家数据安全政策体系及其必要性。讲授国家数据安全最新政策内容。</w:t>
            </w:r>
          </w:p>
          <w:p w14:paraId="3C8730A9">
            <w:pPr>
              <w:rPr>
                <w:rFonts w:ascii="宋体" w:hAnsi="宋体" w:eastAsia="宋体"/>
                <w:sz w:val="24"/>
                <w:szCs w:val="24"/>
              </w:rPr>
            </w:pPr>
            <w:r>
              <w:rPr>
                <w:rFonts w:hint="eastAsia" w:ascii="宋体" w:hAnsi="宋体" w:eastAsia="宋体"/>
                <w:sz w:val="24"/>
                <w:szCs w:val="24"/>
              </w:rPr>
              <w:t>难点：新环境下我国数据安全相关法律的特点及影响。</w:t>
            </w:r>
          </w:p>
        </w:tc>
        <w:tc>
          <w:tcPr>
            <w:tcW w:w="1555" w:type="dxa"/>
            <w:vAlign w:val="center"/>
          </w:tcPr>
          <w:p w14:paraId="71CE91F5">
            <w:pPr>
              <w:jc w:val="center"/>
              <w:rPr>
                <w:rFonts w:ascii="宋体" w:hAnsi="宋体" w:eastAsia="宋体"/>
                <w:sz w:val="24"/>
                <w:szCs w:val="24"/>
              </w:rPr>
            </w:pPr>
            <w:r>
              <w:rPr>
                <w:rFonts w:hint="eastAsia" w:ascii="宋体" w:hAnsi="宋体" w:eastAsia="宋体"/>
                <w:sz w:val="24"/>
                <w:szCs w:val="24"/>
              </w:rPr>
              <w:t>第5,6 周</w:t>
            </w:r>
          </w:p>
        </w:tc>
        <w:tc>
          <w:tcPr>
            <w:tcW w:w="5096" w:type="dxa"/>
            <w:vAlign w:val="center"/>
          </w:tcPr>
          <w:p w14:paraId="5C2C534D">
            <w:pPr>
              <w:rPr>
                <w:rFonts w:ascii="宋体" w:hAnsi="宋体" w:eastAsia="宋体"/>
                <w:sz w:val="24"/>
                <w:szCs w:val="24"/>
              </w:rPr>
            </w:pPr>
            <w:r>
              <w:rPr>
                <w:rFonts w:hint="eastAsia" w:ascii="宋体" w:hAnsi="宋体" w:eastAsia="宋体"/>
                <w:sz w:val="24"/>
                <w:szCs w:val="24"/>
              </w:rPr>
              <w:t>陈定权</w:t>
            </w:r>
          </w:p>
        </w:tc>
      </w:tr>
      <w:tr w14:paraId="21EE10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D70DEA6">
            <w:pPr>
              <w:rPr>
                <w:rFonts w:ascii="宋体" w:hAnsi="宋体" w:eastAsia="宋体"/>
                <w:sz w:val="24"/>
                <w:szCs w:val="24"/>
              </w:rPr>
            </w:pPr>
            <w:r>
              <w:rPr>
                <w:rFonts w:hint="eastAsia" w:ascii="宋体" w:hAnsi="宋体" w:eastAsia="宋体"/>
                <w:sz w:val="24"/>
                <w:szCs w:val="24"/>
              </w:rPr>
              <w:t>第4章 政府信息公开制度</w:t>
            </w:r>
          </w:p>
          <w:p w14:paraId="71A9CDE9">
            <w:pPr>
              <w:rPr>
                <w:rFonts w:ascii="宋体" w:hAnsi="宋体" w:eastAsia="宋体"/>
                <w:sz w:val="24"/>
                <w:szCs w:val="24"/>
              </w:rPr>
            </w:pPr>
            <w:r>
              <w:rPr>
                <w:rFonts w:hint="eastAsia" w:ascii="宋体" w:hAnsi="宋体" w:eastAsia="宋体"/>
                <w:sz w:val="24"/>
                <w:szCs w:val="24"/>
              </w:rPr>
              <w:t>4.1 政府信息公开制度概述</w:t>
            </w:r>
          </w:p>
          <w:p w14:paraId="303E490E">
            <w:pPr>
              <w:rPr>
                <w:rFonts w:ascii="宋体" w:hAnsi="宋体" w:eastAsia="宋体"/>
                <w:sz w:val="24"/>
                <w:szCs w:val="24"/>
              </w:rPr>
            </w:pPr>
            <w:r>
              <w:rPr>
                <w:rFonts w:hint="eastAsia" w:ascii="宋体" w:hAnsi="宋体" w:eastAsia="宋体"/>
                <w:sz w:val="24"/>
                <w:szCs w:val="24"/>
              </w:rPr>
              <w:t>4.2 我国政府信息公开的政策立法实践</w:t>
            </w:r>
          </w:p>
          <w:p w14:paraId="3082A84C">
            <w:pPr>
              <w:rPr>
                <w:rFonts w:ascii="宋体" w:hAnsi="宋体" w:eastAsia="宋体"/>
                <w:sz w:val="24"/>
                <w:szCs w:val="24"/>
              </w:rPr>
            </w:pPr>
            <w:r>
              <w:rPr>
                <w:rFonts w:hint="eastAsia" w:ascii="宋体" w:hAnsi="宋体" w:eastAsia="宋体"/>
                <w:sz w:val="24"/>
                <w:szCs w:val="24"/>
              </w:rPr>
              <w:t>4.3 政府信息公开需要协调的问题</w:t>
            </w:r>
          </w:p>
        </w:tc>
        <w:tc>
          <w:tcPr>
            <w:tcW w:w="5096" w:type="dxa"/>
            <w:vAlign w:val="center"/>
          </w:tcPr>
          <w:p w14:paraId="360E7D42">
            <w:pPr>
              <w:rPr>
                <w:rFonts w:ascii="宋体" w:hAnsi="宋体" w:eastAsia="宋体"/>
                <w:sz w:val="24"/>
                <w:szCs w:val="24"/>
              </w:rPr>
            </w:pPr>
            <w:r>
              <w:rPr>
                <w:rFonts w:hint="eastAsia" w:ascii="宋体" w:hAnsi="宋体" w:eastAsia="宋体"/>
                <w:sz w:val="24"/>
                <w:szCs w:val="24"/>
              </w:rPr>
              <w:t>讲授政府信息公开的含义及国内外立法实践。</w:t>
            </w:r>
          </w:p>
        </w:tc>
        <w:tc>
          <w:tcPr>
            <w:tcW w:w="5096" w:type="dxa"/>
            <w:vAlign w:val="center"/>
          </w:tcPr>
          <w:p w14:paraId="2229240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B84F264">
            <w:pPr>
              <w:rPr>
                <w:rFonts w:ascii="宋体" w:hAnsi="宋体" w:eastAsia="宋体"/>
                <w:sz w:val="24"/>
                <w:szCs w:val="24"/>
              </w:rPr>
            </w:pPr>
            <w:r>
              <w:rPr>
                <w:rFonts w:hint="eastAsia" w:ascii="宋体" w:hAnsi="宋体" w:eastAsia="宋体"/>
                <w:sz w:val="24"/>
                <w:szCs w:val="24"/>
              </w:rPr>
              <w:t>明确我国政府信息公开制度的发展成就及优势，帮助学生树立价值观自信，坚定道路自信、理论自信、制度自信。</w:t>
            </w:r>
          </w:p>
        </w:tc>
        <w:tc>
          <w:tcPr>
            <w:tcW w:w="5096" w:type="dxa"/>
            <w:vAlign w:val="center"/>
          </w:tcPr>
          <w:p w14:paraId="7D514818">
            <w:pPr>
              <w:rPr>
                <w:rFonts w:ascii="宋体" w:hAnsi="宋体" w:eastAsia="宋体"/>
                <w:sz w:val="24"/>
                <w:szCs w:val="24"/>
              </w:rPr>
            </w:pPr>
            <w:r>
              <w:rPr>
                <w:rFonts w:hint="eastAsia" w:ascii="宋体" w:hAnsi="宋体" w:eastAsia="宋体"/>
                <w:sz w:val="24"/>
                <w:szCs w:val="24"/>
              </w:rPr>
              <w:t>重点：讲授政府信息公开的含义及国内外立法实践。</w:t>
            </w:r>
          </w:p>
          <w:p w14:paraId="2447AB05">
            <w:pPr>
              <w:rPr>
                <w:rFonts w:ascii="宋体" w:hAnsi="宋体" w:eastAsia="宋体"/>
                <w:sz w:val="24"/>
                <w:szCs w:val="24"/>
              </w:rPr>
            </w:pPr>
            <w:r>
              <w:rPr>
                <w:rFonts w:hint="eastAsia" w:ascii="宋体" w:hAnsi="宋体" w:eastAsia="宋体"/>
                <w:sz w:val="24"/>
                <w:szCs w:val="24"/>
              </w:rPr>
              <w:t>难点：政府信息公开的边界。</w:t>
            </w:r>
          </w:p>
        </w:tc>
        <w:tc>
          <w:tcPr>
            <w:tcW w:w="1555" w:type="dxa"/>
            <w:vAlign w:val="center"/>
          </w:tcPr>
          <w:p w14:paraId="1ABBE4D3">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5D1F4AB6">
            <w:pPr>
              <w:rPr>
                <w:rFonts w:ascii="宋体" w:hAnsi="宋体" w:eastAsia="宋体"/>
                <w:sz w:val="24"/>
                <w:szCs w:val="24"/>
              </w:rPr>
            </w:pPr>
            <w:r>
              <w:rPr>
                <w:rFonts w:hint="eastAsia" w:ascii="宋体" w:hAnsi="宋体" w:eastAsia="宋体"/>
                <w:sz w:val="24"/>
                <w:szCs w:val="24"/>
              </w:rPr>
              <w:t>唐琼</w:t>
            </w:r>
          </w:p>
        </w:tc>
      </w:tr>
      <w:tr w14:paraId="3BF0F3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6F41821">
            <w:pPr>
              <w:rPr>
                <w:rFonts w:ascii="宋体" w:hAnsi="宋体" w:eastAsia="宋体"/>
                <w:sz w:val="24"/>
                <w:szCs w:val="24"/>
              </w:rPr>
            </w:pPr>
            <w:r>
              <w:rPr>
                <w:rFonts w:hint="eastAsia" w:ascii="宋体" w:hAnsi="宋体" w:eastAsia="宋体"/>
                <w:sz w:val="24"/>
                <w:szCs w:val="24"/>
              </w:rPr>
              <w:t>第5章 公共数据资源开发利用政策</w:t>
            </w:r>
          </w:p>
          <w:p w14:paraId="7896BD4E">
            <w:pPr>
              <w:rPr>
                <w:rFonts w:ascii="宋体" w:hAnsi="宋体" w:eastAsia="宋体"/>
                <w:sz w:val="24"/>
                <w:szCs w:val="24"/>
              </w:rPr>
            </w:pPr>
            <w:r>
              <w:rPr>
                <w:rFonts w:hint="eastAsia" w:ascii="宋体" w:hAnsi="宋体" w:eastAsia="宋体"/>
                <w:sz w:val="24"/>
                <w:szCs w:val="24"/>
              </w:rPr>
              <w:t>5.1 公共数据资源的战略价值</w:t>
            </w:r>
          </w:p>
          <w:p w14:paraId="13D5899E">
            <w:pPr>
              <w:rPr>
                <w:rFonts w:ascii="宋体" w:hAnsi="宋体" w:eastAsia="宋体"/>
                <w:sz w:val="24"/>
                <w:szCs w:val="24"/>
              </w:rPr>
            </w:pPr>
            <w:r>
              <w:rPr>
                <w:rFonts w:hint="eastAsia" w:ascii="宋体" w:hAnsi="宋体" w:eastAsia="宋体"/>
                <w:sz w:val="24"/>
                <w:szCs w:val="24"/>
              </w:rPr>
              <w:t>5.2 国际经验与本土挑战</w:t>
            </w:r>
          </w:p>
          <w:p w14:paraId="5D456BCE">
            <w:pPr>
              <w:rPr>
                <w:rFonts w:ascii="宋体" w:hAnsi="宋体" w:eastAsia="宋体"/>
                <w:sz w:val="24"/>
                <w:szCs w:val="24"/>
              </w:rPr>
            </w:pPr>
            <w:r>
              <w:rPr>
                <w:rFonts w:hint="eastAsia" w:ascii="宋体" w:hAnsi="宋体" w:eastAsia="宋体"/>
                <w:sz w:val="24"/>
                <w:szCs w:val="24"/>
              </w:rPr>
              <w:t>5.3 我国公共数据资源开发利用的政策体系</w:t>
            </w:r>
          </w:p>
          <w:p w14:paraId="1132F634">
            <w:pPr>
              <w:rPr>
                <w:rFonts w:ascii="宋体" w:hAnsi="宋体" w:eastAsia="宋体"/>
                <w:sz w:val="24"/>
                <w:szCs w:val="24"/>
              </w:rPr>
            </w:pPr>
            <w:r>
              <w:rPr>
                <w:rFonts w:hint="eastAsia" w:ascii="宋体" w:hAnsi="宋体" w:eastAsia="宋体"/>
                <w:sz w:val="24"/>
                <w:szCs w:val="24"/>
              </w:rPr>
              <w:t>5.4 实践路径与创新应用</w:t>
            </w:r>
          </w:p>
        </w:tc>
        <w:tc>
          <w:tcPr>
            <w:tcW w:w="5096" w:type="dxa"/>
            <w:vAlign w:val="center"/>
          </w:tcPr>
          <w:p w14:paraId="272E3A74">
            <w:pPr>
              <w:rPr>
                <w:rFonts w:ascii="宋体" w:hAnsi="宋体" w:eastAsia="宋体"/>
                <w:sz w:val="24"/>
                <w:szCs w:val="24"/>
              </w:rPr>
            </w:pPr>
            <w:r>
              <w:rPr>
                <w:rFonts w:hint="eastAsia" w:ascii="宋体" w:hAnsi="宋体" w:eastAsia="宋体"/>
                <w:sz w:val="24"/>
                <w:szCs w:val="24"/>
              </w:rPr>
              <w:t>讲授公共数据资源开发利用现状、问题及挑战，系统解读国内外公共数据资源开发利用政策</w:t>
            </w:r>
          </w:p>
        </w:tc>
        <w:tc>
          <w:tcPr>
            <w:tcW w:w="5096" w:type="dxa"/>
            <w:vAlign w:val="center"/>
          </w:tcPr>
          <w:p w14:paraId="410DBFD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C6BCB04">
            <w:pPr>
              <w:rPr>
                <w:rFonts w:ascii="宋体" w:hAnsi="宋体" w:eastAsia="宋体"/>
                <w:sz w:val="24"/>
                <w:szCs w:val="24"/>
              </w:rPr>
            </w:pPr>
            <w:r>
              <w:rPr>
                <w:rFonts w:hint="eastAsia" w:ascii="宋体" w:hAnsi="宋体" w:eastAsia="宋体"/>
                <w:sz w:val="24"/>
                <w:szCs w:val="24"/>
              </w:rPr>
              <w:t>明确我国公共数据资源开发利用制度的发展成就及优势，帮助学生树立价值观自信，坚定道路自信、理论自信、制度自信。</w:t>
            </w:r>
          </w:p>
        </w:tc>
        <w:tc>
          <w:tcPr>
            <w:tcW w:w="5096" w:type="dxa"/>
            <w:vAlign w:val="center"/>
          </w:tcPr>
          <w:p w14:paraId="71FC4578">
            <w:pPr>
              <w:rPr>
                <w:rFonts w:ascii="宋体" w:hAnsi="宋体" w:eastAsia="宋体"/>
                <w:sz w:val="24"/>
                <w:szCs w:val="24"/>
              </w:rPr>
            </w:pPr>
            <w:r>
              <w:rPr>
                <w:rFonts w:hint="eastAsia" w:ascii="宋体" w:hAnsi="宋体" w:eastAsia="宋体"/>
                <w:sz w:val="24"/>
                <w:szCs w:val="24"/>
              </w:rPr>
              <w:t>重点：讲授公共数据资源开发利用的国内外立法实践。</w:t>
            </w:r>
          </w:p>
          <w:p w14:paraId="13A049CA">
            <w:pPr>
              <w:rPr>
                <w:rFonts w:ascii="宋体" w:hAnsi="宋体" w:eastAsia="宋体"/>
                <w:sz w:val="24"/>
                <w:szCs w:val="24"/>
              </w:rPr>
            </w:pPr>
            <w:r>
              <w:rPr>
                <w:rFonts w:hint="eastAsia" w:ascii="宋体" w:hAnsi="宋体" w:eastAsia="宋体"/>
                <w:sz w:val="24"/>
                <w:szCs w:val="24"/>
              </w:rPr>
              <w:t>难点：公共数据资源供给端、使用端面临的问题如何解决。</w:t>
            </w:r>
          </w:p>
        </w:tc>
        <w:tc>
          <w:tcPr>
            <w:tcW w:w="1555" w:type="dxa"/>
            <w:vAlign w:val="center"/>
          </w:tcPr>
          <w:p w14:paraId="256C73A7">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0ACA597D">
            <w:pPr>
              <w:rPr>
                <w:rFonts w:ascii="宋体" w:hAnsi="宋体" w:eastAsia="宋体"/>
                <w:sz w:val="24"/>
                <w:szCs w:val="24"/>
              </w:rPr>
            </w:pPr>
            <w:r>
              <w:rPr>
                <w:rFonts w:hint="eastAsia" w:ascii="宋体" w:hAnsi="宋体" w:eastAsia="宋体"/>
                <w:sz w:val="24"/>
                <w:szCs w:val="24"/>
              </w:rPr>
              <w:t>唐琼</w:t>
            </w:r>
          </w:p>
        </w:tc>
      </w:tr>
      <w:tr w14:paraId="09FBA9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718183F">
            <w:pPr>
              <w:rPr>
                <w:rFonts w:ascii="宋体" w:hAnsi="宋体" w:eastAsia="宋体"/>
                <w:sz w:val="24"/>
                <w:szCs w:val="24"/>
              </w:rPr>
            </w:pPr>
            <w:r>
              <w:rPr>
                <w:rFonts w:hint="eastAsia" w:ascii="宋体" w:hAnsi="宋体" w:eastAsia="宋体"/>
                <w:sz w:val="24"/>
                <w:szCs w:val="24"/>
              </w:rPr>
              <w:t>第6章 个人信息安全法律规范（一）</w:t>
            </w:r>
          </w:p>
          <w:p w14:paraId="15A99DC2">
            <w:pPr>
              <w:rPr>
                <w:rFonts w:ascii="宋体" w:hAnsi="宋体" w:eastAsia="宋体"/>
                <w:sz w:val="24"/>
                <w:szCs w:val="24"/>
              </w:rPr>
            </w:pPr>
            <w:r>
              <w:rPr>
                <w:rFonts w:hint="eastAsia" w:ascii="宋体" w:hAnsi="宋体" w:eastAsia="宋体"/>
                <w:sz w:val="24"/>
                <w:szCs w:val="24"/>
              </w:rPr>
              <w:t>6.1 什么是个人信息</w:t>
            </w:r>
          </w:p>
          <w:p w14:paraId="72C204BC">
            <w:pPr>
              <w:rPr>
                <w:rFonts w:ascii="宋体" w:hAnsi="宋体" w:eastAsia="宋体"/>
                <w:sz w:val="24"/>
                <w:szCs w:val="24"/>
              </w:rPr>
            </w:pPr>
            <w:r>
              <w:rPr>
                <w:rFonts w:hint="eastAsia" w:ascii="宋体" w:hAnsi="宋体" w:eastAsia="宋体"/>
                <w:sz w:val="24"/>
                <w:szCs w:val="24"/>
              </w:rPr>
              <w:t>6.2 大数据时代个人信息泄露的社会乱象</w:t>
            </w:r>
          </w:p>
          <w:p w14:paraId="79876830">
            <w:pPr>
              <w:rPr>
                <w:rFonts w:ascii="宋体" w:hAnsi="宋体" w:eastAsia="宋体"/>
                <w:sz w:val="24"/>
                <w:szCs w:val="24"/>
              </w:rPr>
            </w:pPr>
            <w:r>
              <w:rPr>
                <w:rFonts w:hint="eastAsia" w:ascii="宋体" w:hAnsi="宋体" w:eastAsia="宋体"/>
                <w:sz w:val="24"/>
                <w:szCs w:val="24"/>
              </w:rPr>
              <w:t>6.3 个人信息泄露危害与成因</w:t>
            </w:r>
          </w:p>
          <w:p w14:paraId="1F0B1960">
            <w:pPr>
              <w:rPr>
                <w:rFonts w:ascii="宋体" w:hAnsi="宋体" w:eastAsia="宋体"/>
                <w:sz w:val="24"/>
                <w:szCs w:val="24"/>
              </w:rPr>
            </w:pPr>
            <w:r>
              <w:rPr>
                <w:rFonts w:hint="eastAsia" w:ascii="宋体" w:hAnsi="宋体" w:eastAsia="宋体"/>
                <w:sz w:val="24"/>
                <w:szCs w:val="24"/>
              </w:rPr>
              <w:t>6.4 国外个人信息保护法律法规</w:t>
            </w:r>
          </w:p>
          <w:p w14:paraId="04AF57BD">
            <w:pPr>
              <w:rPr>
                <w:rFonts w:ascii="宋体" w:hAnsi="宋体" w:eastAsia="宋体"/>
                <w:sz w:val="24"/>
                <w:szCs w:val="24"/>
              </w:rPr>
            </w:pPr>
            <w:r>
              <w:rPr>
                <w:rFonts w:hint="eastAsia" w:ascii="宋体" w:hAnsi="宋体" w:eastAsia="宋体"/>
                <w:sz w:val="24"/>
                <w:szCs w:val="24"/>
              </w:rPr>
              <w:t>6.5 我国个人信息保护相关的重要法规及规范性文件</w:t>
            </w:r>
          </w:p>
          <w:p w14:paraId="080109EA">
            <w:pPr>
              <w:rPr>
                <w:rFonts w:ascii="宋体" w:hAnsi="宋体" w:eastAsia="宋体"/>
                <w:sz w:val="24"/>
                <w:szCs w:val="24"/>
              </w:rPr>
            </w:pPr>
          </w:p>
        </w:tc>
        <w:tc>
          <w:tcPr>
            <w:tcW w:w="5096" w:type="dxa"/>
            <w:vAlign w:val="center"/>
          </w:tcPr>
          <w:p w14:paraId="239D51B3">
            <w:pPr>
              <w:rPr>
                <w:rFonts w:ascii="宋体" w:hAnsi="宋体" w:eastAsia="宋体"/>
                <w:sz w:val="24"/>
                <w:szCs w:val="24"/>
              </w:rPr>
            </w:pPr>
            <w:r>
              <w:rPr>
                <w:rFonts w:hint="eastAsia" w:ascii="宋体" w:hAnsi="宋体" w:eastAsia="宋体"/>
                <w:sz w:val="24"/>
                <w:szCs w:val="24"/>
              </w:rPr>
              <w:t>世界各国对个人信息的法律保护制度，我国的个人信息保护制度体系。</w:t>
            </w:r>
          </w:p>
        </w:tc>
        <w:tc>
          <w:tcPr>
            <w:tcW w:w="5096" w:type="dxa"/>
            <w:vAlign w:val="center"/>
          </w:tcPr>
          <w:p w14:paraId="0F6B7CE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6D8DFD5">
            <w:pPr>
              <w:rPr>
                <w:rFonts w:ascii="宋体" w:hAnsi="宋体" w:eastAsia="宋体"/>
                <w:sz w:val="24"/>
                <w:szCs w:val="24"/>
              </w:rPr>
            </w:pPr>
            <w:r>
              <w:rPr>
                <w:rFonts w:hint="eastAsia" w:ascii="宋体" w:hAnsi="宋体" w:eastAsia="宋体"/>
                <w:sz w:val="24"/>
                <w:szCs w:val="24"/>
              </w:rPr>
              <w:t>明确我国个人信息安全法律规范的发展成就及优势，帮助学生树立价值观自信，坚定道路自信、理论自信、制度自信。</w:t>
            </w:r>
          </w:p>
        </w:tc>
        <w:tc>
          <w:tcPr>
            <w:tcW w:w="5096" w:type="dxa"/>
            <w:vAlign w:val="center"/>
          </w:tcPr>
          <w:p w14:paraId="63B93017">
            <w:pPr>
              <w:rPr>
                <w:rFonts w:ascii="宋体" w:hAnsi="宋体" w:eastAsia="宋体"/>
                <w:sz w:val="24"/>
                <w:szCs w:val="24"/>
              </w:rPr>
            </w:pPr>
            <w:r>
              <w:rPr>
                <w:rFonts w:hint="eastAsia" w:ascii="宋体" w:hAnsi="宋体" w:eastAsia="宋体"/>
                <w:sz w:val="24"/>
                <w:szCs w:val="24"/>
              </w:rPr>
              <w:t>重点：分析网络环境下个人信息不安全的因素，个人信息保护方式，世界各国对个人信息的法律保护。</w:t>
            </w:r>
          </w:p>
          <w:p w14:paraId="78F2CD0B">
            <w:pPr>
              <w:rPr>
                <w:rFonts w:ascii="宋体" w:hAnsi="宋体" w:eastAsia="宋体"/>
                <w:sz w:val="24"/>
                <w:szCs w:val="24"/>
              </w:rPr>
            </w:pPr>
            <w:r>
              <w:rPr>
                <w:rFonts w:hint="eastAsia" w:ascii="宋体" w:hAnsi="宋体" w:eastAsia="宋体"/>
                <w:sz w:val="24"/>
                <w:szCs w:val="24"/>
              </w:rPr>
              <w:t>难点：信息遗忘权的保护。</w:t>
            </w:r>
          </w:p>
        </w:tc>
        <w:tc>
          <w:tcPr>
            <w:tcW w:w="1555" w:type="dxa"/>
            <w:vAlign w:val="center"/>
          </w:tcPr>
          <w:p w14:paraId="4D9720F5">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5B8BEDC5">
            <w:pPr>
              <w:rPr>
                <w:rFonts w:ascii="宋体" w:hAnsi="宋体" w:eastAsia="宋体"/>
                <w:sz w:val="24"/>
                <w:szCs w:val="24"/>
              </w:rPr>
            </w:pPr>
            <w:r>
              <w:rPr>
                <w:rFonts w:hint="eastAsia" w:ascii="宋体" w:hAnsi="宋体" w:eastAsia="宋体"/>
                <w:sz w:val="24"/>
                <w:szCs w:val="24"/>
              </w:rPr>
              <w:t>唐琼</w:t>
            </w:r>
          </w:p>
        </w:tc>
      </w:tr>
      <w:tr w14:paraId="328D45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8CAC600">
            <w:pPr>
              <w:rPr>
                <w:rFonts w:ascii="宋体" w:hAnsi="宋体" w:eastAsia="宋体"/>
                <w:sz w:val="24"/>
                <w:szCs w:val="24"/>
              </w:rPr>
            </w:pPr>
            <w:r>
              <w:rPr>
                <w:rFonts w:hint="eastAsia" w:ascii="宋体" w:hAnsi="宋体" w:eastAsia="宋体"/>
                <w:sz w:val="24"/>
                <w:szCs w:val="24"/>
              </w:rPr>
              <w:t>第7章 人工智能伦理问题及其治理</w:t>
            </w:r>
          </w:p>
          <w:p w14:paraId="519EA9A3">
            <w:pPr>
              <w:rPr>
                <w:rFonts w:ascii="宋体" w:hAnsi="宋体" w:eastAsia="宋体"/>
                <w:sz w:val="24"/>
                <w:szCs w:val="24"/>
              </w:rPr>
            </w:pPr>
            <w:r>
              <w:rPr>
                <w:rFonts w:hint="eastAsia" w:ascii="宋体" w:hAnsi="宋体" w:eastAsia="宋体"/>
                <w:sz w:val="24"/>
                <w:szCs w:val="24"/>
              </w:rPr>
              <w:t>7.1 人工智能发展面临的伦理问题</w:t>
            </w:r>
          </w:p>
          <w:p w14:paraId="0D610DC4">
            <w:pPr>
              <w:rPr>
                <w:rFonts w:ascii="宋体" w:hAnsi="宋体" w:eastAsia="宋体"/>
                <w:sz w:val="24"/>
                <w:szCs w:val="24"/>
              </w:rPr>
            </w:pPr>
            <w:r>
              <w:rPr>
                <w:rFonts w:hint="eastAsia" w:ascii="宋体" w:hAnsi="宋体" w:eastAsia="宋体"/>
                <w:sz w:val="24"/>
                <w:szCs w:val="24"/>
              </w:rPr>
              <w:t>7.2 人工智能治理政策</w:t>
            </w:r>
          </w:p>
          <w:p w14:paraId="2B152975">
            <w:pPr>
              <w:rPr>
                <w:rFonts w:ascii="宋体" w:hAnsi="宋体" w:eastAsia="宋体"/>
                <w:sz w:val="24"/>
                <w:szCs w:val="24"/>
              </w:rPr>
            </w:pPr>
          </w:p>
        </w:tc>
        <w:tc>
          <w:tcPr>
            <w:tcW w:w="5096" w:type="dxa"/>
            <w:vAlign w:val="center"/>
          </w:tcPr>
          <w:p w14:paraId="098C23B1">
            <w:pPr>
              <w:rPr>
                <w:rFonts w:ascii="宋体" w:hAnsi="宋体" w:eastAsia="宋体"/>
                <w:sz w:val="24"/>
                <w:szCs w:val="24"/>
              </w:rPr>
            </w:pPr>
            <w:r>
              <w:rPr>
                <w:rFonts w:hint="eastAsia" w:ascii="宋体" w:hAnsi="宋体" w:eastAsia="宋体"/>
                <w:sz w:val="24"/>
                <w:szCs w:val="24"/>
              </w:rPr>
              <w:t>人工智能发展面临的伦理问题，国际、我国出台的有关人工智能治理的政策、指南。</w:t>
            </w:r>
          </w:p>
        </w:tc>
        <w:tc>
          <w:tcPr>
            <w:tcW w:w="5096" w:type="dxa"/>
            <w:vAlign w:val="center"/>
          </w:tcPr>
          <w:p w14:paraId="6FAA31E9">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C8F1D8B">
            <w:pPr>
              <w:rPr>
                <w:rFonts w:ascii="宋体" w:hAnsi="宋体" w:eastAsia="宋体"/>
                <w:sz w:val="24"/>
                <w:szCs w:val="24"/>
              </w:rPr>
            </w:pPr>
            <w:r>
              <w:rPr>
                <w:rFonts w:hint="eastAsia" w:ascii="宋体" w:hAnsi="宋体" w:eastAsia="宋体"/>
                <w:sz w:val="24"/>
                <w:szCs w:val="24"/>
              </w:rPr>
              <w:t>主动关切推动信息社会发展的最新技术所带来的伦理问题，思考治理之道。</w:t>
            </w:r>
          </w:p>
        </w:tc>
        <w:tc>
          <w:tcPr>
            <w:tcW w:w="5096" w:type="dxa"/>
            <w:vAlign w:val="center"/>
          </w:tcPr>
          <w:p w14:paraId="3DF295C5">
            <w:pPr>
              <w:rPr>
                <w:rFonts w:ascii="宋体" w:hAnsi="宋体" w:eastAsia="宋体"/>
                <w:sz w:val="24"/>
                <w:szCs w:val="24"/>
              </w:rPr>
            </w:pPr>
            <w:r>
              <w:rPr>
                <w:rFonts w:hint="eastAsia" w:ascii="宋体" w:hAnsi="宋体" w:eastAsia="宋体"/>
                <w:sz w:val="24"/>
                <w:szCs w:val="24"/>
              </w:rPr>
              <w:t>重点：人工智能的发展与治理之道</w:t>
            </w:r>
          </w:p>
          <w:p w14:paraId="23A094B7">
            <w:pPr>
              <w:rPr>
                <w:rFonts w:ascii="宋体" w:hAnsi="宋体" w:eastAsia="宋体"/>
                <w:sz w:val="24"/>
                <w:szCs w:val="24"/>
              </w:rPr>
            </w:pPr>
            <w:r>
              <w:rPr>
                <w:rFonts w:hint="eastAsia" w:ascii="宋体" w:hAnsi="宋体" w:eastAsia="宋体"/>
                <w:sz w:val="24"/>
                <w:szCs w:val="24"/>
              </w:rPr>
              <w:t>难点：如何理解人工智能的发展与人文伦理、道德问题</w:t>
            </w:r>
          </w:p>
        </w:tc>
        <w:tc>
          <w:tcPr>
            <w:tcW w:w="1555" w:type="dxa"/>
            <w:vAlign w:val="center"/>
          </w:tcPr>
          <w:p w14:paraId="791EFAC7">
            <w:pPr>
              <w:jc w:val="center"/>
              <w:rPr>
                <w:rFonts w:ascii="宋体" w:hAnsi="宋体" w:eastAsia="宋体"/>
                <w:sz w:val="24"/>
                <w:szCs w:val="24"/>
              </w:rPr>
            </w:pPr>
            <w:r>
              <w:rPr>
                <w:rFonts w:hint="eastAsia" w:ascii="宋体" w:hAnsi="宋体" w:eastAsia="宋体"/>
                <w:sz w:val="24"/>
                <w:szCs w:val="24"/>
              </w:rPr>
              <w:t>第10,11 周</w:t>
            </w:r>
          </w:p>
        </w:tc>
        <w:tc>
          <w:tcPr>
            <w:tcW w:w="5096" w:type="dxa"/>
            <w:vAlign w:val="center"/>
          </w:tcPr>
          <w:p w14:paraId="7167AFC6">
            <w:pPr>
              <w:rPr>
                <w:rFonts w:ascii="宋体" w:hAnsi="宋体" w:eastAsia="宋体"/>
                <w:sz w:val="24"/>
                <w:szCs w:val="24"/>
              </w:rPr>
            </w:pPr>
            <w:r>
              <w:rPr>
                <w:rFonts w:hint="eastAsia" w:ascii="宋体" w:hAnsi="宋体" w:eastAsia="宋体"/>
                <w:sz w:val="24"/>
                <w:szCs w:val="24"/>
              </w:rPr>
              <w:t>肖鹏</w:t>
            </w:r>
          </w:p>
          <w:p w14:paraId="01F1BA60">
            <w:pPr>
              <w:rPr>
                <w:rFonts w:ascii="宋体" w:hAnsi="宋体" w:eastAsia="宋体"/>
                <w:sz w:val="24"/>
                <w:szCs w:val="24"/>
              </w:rPr>
            </w:pPr>
            <w:r>
              <w:rPr>
                <w:rFonts w:hint="eastAsia" w:ascii="宋体" w:hAnsi="宋体" w:eastAsia="宋体"/>
                <w:sz w:val="24"/>
                <w:szCs w:val="24"/>
              </w:rPr>
              <w:t>唐琼</w:t>
            </w:r>
          </w:p>
        </w:tc>
      </w:tr>
      <w:tr w14:paraId="7C4BC8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7C5E6B4">
            <w:pPr>
              <w:rPr>
                <w:rFonts w:ascii="宋体" w:hAnsi="宋体" w:eastAsia="宋体"/>
                <w:sz w:val="24"/>
                <w:szCs w:val="24"/>
              </w:rPr>
            </w:pPr>
            <w:r>
              <w:rPr>
                <w:rFonts w:hint="eastAsia" w:ascii="宋体" w:hAnsi="宋体" w:eastAsia="宋体"/>
                <w:sz w:val="24"/>
                <w:szCs w:val="24"/>
              </w:rPr>
              <w:t>第8章 互联网是平等的吗？</w:t>
            </w:r>
          </w:p>
          <w:p w14:paraId="797C9DCC">
            <w:pPr>
              <w:rPr>
                <w:rFonts w:ascii="宋体" w:hAnsi="宋体" w:eastAsia="宋体"/>
                <w:sz w:val="24"/>
                <w:szCs w:val="24"/>
              </w:rPr>
            </w:pPr>
            <w:r>
              <w:rPr>
                <w:rFonts w:hint="eastAsia" w:ascii="宋体" w:hAnsi="宋体" w:eastAsia="宋体"/>
                <w:sz w:val="24"/>
                <w:szCs w:val="24"/>
              </w:rPr>
              <w:t>8.1 互联网与平等的关系</w:t>
            </w:r>
          </w:p>
          <w:p w14:paraId="65343535">
            <w:pPr>
              <w:rPr>
                <w:rFonts w:ascii="宋体" w:hAnsi="宋体" w:eastAsia="宋体"/>
                <w:sz w:val="24"/>
                <w:szCs w:val="24"/>
              </w:rPr>
            </w:pPr>
            <w:r>
              <w:rPr>
                <w:rFonts w:hint="eastAsia" w:ascii="宋体" w:hAnsi="宋体" w:eastAsia="宋体"/>
                <w:sz w:val="24"/>
                <w:szCs w:val="24"/>
              </w:rPr>
              <w:t>8.2 数字包容：含义与制度建设</w:t>
            </w:r>
          </w:p>
          <w:p w14:paraId="1ABA1F2F">
            <w:pPr>
              <w:rPr>
                <w:rFonts w:ascii="宋体" w:hAnsi="宋体" w:eastAsia="宋体"/>
                <w:sz w:val="24"/>
                <w:szCs w:val="24"/>
              </w:rPr>
            </w:pPr>
          </w:p>
        </w:tc>
        <w:tc>
          <w:tcPr>
            <w:tcW w:w="5096" w:type="dxa"/>
            <w:vAlign w:val="center"/>
          </w:tcPr>
          <w:p w14:paraId="28E12FCB">
            <w:pPr>
              <w:rPr>
                <w:rFonts w:ascii="宋体" w:hAnsi="宋体" w:eastAsia="宋体"/>
                <w:sz w:val="24"/>
                <w:szCs w:val="24"/>
              </w:rPr>
            </w:pPr>
            <w:r>
              <w:rPr>
                <w:rFonts w:hint="eastAsia" w:ascii="宋体" w:hAnsi="宋体" w:eastAsia="宋体"/>
                <w:sz w:val="24"/>
                <w:szCs w:val="24"/>
              </w:rPr>
              <w:t>对信息公平及相关立法实践的探讨。</w:t>
            </w:r>
          </w:p>
        </w:tc>
        <w:tc>
          <w:tcPr>
            <w:tcW w:w="5096" w:type="dxa"/>
            <w:vAlign w:val="center"/>
          </w:tcPr>
          <w:p w14:paraId="1497F62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3321C67">
            <w:pPr>
              <w:rPr>
                <w:rFonts w:ascii="宋体" w:hAnsi="宋体" w:eastAsia="宋体"/>
                <w:sz w:val="24"/>
                <w:szCs w:val="24"/>
              </w:rPr>
            </w:pPr>
            <w:r>
              <w:rPr>
                <w:rFonts w:hint="eastAsia" w:ascii="宋体" w:hAnsi="宋体" w:eastAsia="宋体"/>
                <w:sz w:val="24"/>
                <w:szCs w:val="24"/>
              </w:rPr>
              <w:t>学习我国在通过信息政策的制定推动数字技术、互联网技术普及应用方面的发展成就及优势，对于弱势群体的帮扶政策，帮助学生树立价值观自信，坚定道路自信、理论自信、制度自信与文化自信。</w:t>
            </w:r>
          </w:p>
        </w:tc>
        <w:tc>
          <w:tcPr>
            <w:tcW w:w="5096" w:type="dxa"/>
            <w:vAlign w:val="center"/>
          </w:tcPr>
          <w:p w14:paraId="0371D70A">
            <w:pPr>
              <w:rPr>
                <w:rFonts w:ascii="宋体" w:hAnsi="宋体" w:eastAsia="宋体"/>
                <w:sz w:val="24"/>
                <w:szCs w:val="24"/>
              </w:rPr>
            </w:pPr>
            <w:r>
              <w:rPr>
                <w:rFonts w:hint="eastAsia" w:ascii="宋体" w:hAnsi="宋体" w:eastAsia="宋体"/>
                <w:sz w:val="24"/>
                <w:szCs w:val="24"/>
              </w:rPr>
              <w:t>重点：对信息公平及相关立法实践的探讨。</w:t>
            </w:r>
          </w:p>
          <w:p w14:paraId="77DEBC7A">
            <w:pPr>
              <w:rPr>
                <w:rFonts w:ascii="宋体" w:hAnsi="宋体" w:eastAsia="宋体"/>
                <w:sz w:val="24"/>
                <w:szCs w:val="24"/>
              </w:rPr>
            </w:pPr>
            <w:r>
              <w:rPr>
                <w:rFonts w:hint="eastAsia" w:ascii="宋体" w:hAnsi="宋体" w:eastAsia="宋体"/>
                <w:sz w:val="24"/>
                <w:szCs w:val="24"/>
              </w:rPr>
              <w:t>难点：信息技术的发展是否带来了绝对公平。</w:t>
            </w:r>
          </w:p>
        </w:tc>
        <w:tc>
          <w:tcPr>
            <w:tcW w:w="1555" w:type="dxa"/>
            <w:vAlign w:val="center"/>
          </w:tcPr>
          <w:p w14:paraId="1EC91C83">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2A4CACD4">
            <w:pPr>
              <w:rPr>
                <w:rFonts w:ascii="宋体" w:hAnsi="宋体" w:eastAsia="宋体"/>
                <w:sz w:val="24"/>
                <w:szCs w:val="24"/>
              </w:rPr>
            </w:pPr>
            <w:r>
              <w:rPr>
                <w:rFonts w:hint="eastAsia" w:ascii="宋体" w:hAnsi="宋体" w:eastAsia="宋体"/>
                <w:sz w:val="24"/>
                <w:szCs w:val="24"/>
              </w:rPr>
              <w:t>唐琼</w:t>
            </w:r>
          </w:p>
        </w:tc>
      </w:tr>
      <w:tr w14:paraId="73150A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F7D5BE6">
            <w:pPr>
              <w:rPr>
                <w:rFonts w:ascii="宋体" w:hAnsi="宋体" w:eastAsia="宋体"/>
                <w:sz w:val="24"/>
                <w:szCs w:val="24"/>
              </w:rPr>
            </w:pPr>
            <w:r>
              <w:rPr>
                <w:rFonts w:hint="eastAsia" w:ascii="宋体" w:hAnsi="宋体" w:eastAsia="宋体"/>
                <w:sz w:val="24"/>
                <w:szCs w:val="24"/>
              </w:rPr>
              <w:t>第9章 互联网是自由的吗？</w:t>
            </w:r>
          </w:p>
          <w:p w14:paraId="0EDA2386">
            <w:pPr>
              <w:rPr>
                <w:rFonts w:ascii="宋体" w:hAnsi="宋体" w:eastAsia="宋体"/>
                <w:sz w:val="24"/>
                <w:szCs w:val="24"/>
              </w:rPr>
            </w:pPr>
            <w:r>
              <w:rPr>
                <w:rFonts w:hint="eastAsia" w:ascii="宋体" w:hAnsi="宋体" w:eastAsia="宋体"/>
                <w:sz w:val="24"/>
                <w:szCs w:val="24"/>
              </w:rPr>
              <w:t>9.1 互联网信息传播自由的辩证思考</w:t>
            </w:r>
          </w:p>
          <w:p w14:paraId="77158B01">
            <w:pPr>
              <w:rPr>
                <w:rFonts w:ascii="宋体" w:hAnsi="宋体" w:eastAsia="宋体"/>
                <w:sz w:val="24"/>
                <w:szCs w:val="24"/>
              </w:rPr>
            </w:pPr>
            <w:r>
              <w:rPr>
                <w:rFonts w:hint="eastAsia" w:ascii="宋体" w:hAnsi="宋体" w:eastAsia="宋体"/>
                <w:sz w:val="24"/>
                <w:szCs w:val="24"/>
              </w:rPr>
              <w:t>9.2 网络谣言的治理</w:t>
            </w:r>
          </w:p>
          <w:p w14:paraId="6BDC42F1">
            <w:pPr>
              <w:rPr>
                <w:rFonts w:ascii="宋体" w:hAnsi="宋体" w:eastAsia="宋体"/>
                <w:sz w:val="24"/>
                <w:szCs w:val="24"/>
              </w:rPr>
            </w:pPr>
          </w:p>
        </w:tc>
        <w:tc>
          <w:tcPr>
            <w:tcW w:w="5096" w:type="dxa"/>
            <w:vAlign w:val="center"/>
          </w:tcPr>
          <w:p w14:paraId="0A3F603F">
            <w:pPr>
              <w:rPr>
                <w:rFonts w:ascii="宋体" w:hAnsi="宋体" w:eastAsia="宋体"/>
                <w:sz w:val="24"/>
                <w:szCs w:val="24"/>
              </w:rPr>
            </w:pPr>
            <w:r>
              <w:rPr>
                <w:rFonts w:hint="eastAsia" w:ascii="宋体" w:hAnsi="宋体" w:eastAsia="宋体"/>
                <w:sz w:val="24"/>
                <w:szCs w:val="24"/>
              </w:rPr>
              <w:t>对人肉搜索、网络谣言与网络语言暴力等的规制。</w:t>
            </w:r>
          </w:p>
        </w:tc>
        <w:tc>
          <w:tcPr>
            <w:tcW w:w="5096" w:type="dxa"/>
            <w:vAlign w:val="center"/>
          </w:tcPr>
          <w:p w14:paraId="05ED794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9743CDB">
            <w:pPr>
              <w:rPr>
                <w:rFonts w:ascii="宋体" w:hAnsi="宋体" w:eastAsia="宋体"/>
                <w:sz w:val="24"/>
                <w:szCs w:val="24"/>
              </w:rPr>
            </w:pPr>
            <w:r>
              <w:rPr>
                <w:rFonts w:hint="eastAsia" w:ascii="宋体" w:hAnsi="宋体" w:eastAsia="宋体"/>
                <w:sz w:val="24"/>
                <w:szCs w:val="24"/>
              </w:rPr>
              <w:t>学习我国规范互联网有序发展方面的成就及优势，帮助学生树立价值观自信，坚定道路自信、理论自信、制度自信与文化自信。</w:t>
            </w:r>
          </w:p>
        </w:tc>
        <w:tc>
          <w:tcPr>
            <w:tcW w:w="5096" w:type="dxa"/>
            <w:vAlign w:val="center"/>
          </w:tcPr>
          <w:p w14:paraId="736F20FD">
            <w:pPr>
              <w:rPr>
                <w:rFonts w:ascii="宋体" w:hAnsi="宋体" w:eastAsia="宋体"/>
                <w:sz w:val="24"/>
                <w:szCs w:val="24"/>
              </w:rPr>
            </w:pPr>
            <w:r>
              <w:rPr>
                <w:rFonts w:hint="eastAsia" w:ascii="宋体" w:hAnsi="宋体" w:eastAsia="宋体"/>
                <w:sz w:val="24"/>
                <w:szCs w:val="24"/>
              </w:rPr>
              <w:t>重点：人肉搜索、网络谣言与网络语言暴力的规制。</w:t>
            </w:r>
          </w:p>
          <w:p w14:paraId="42E002D4">
            <w:pPr>
              <w:rPr>
                <w:rFonts w:ascii="宋体" w:hAnsi="宋体" w:eastAsia="宋体"/>
                <w:sz w:val="24"/>
                <w:szCs w:val="24"/>
              </w:rPr>
            </w:pPr>
            <w:r>
              <w:rPr>
                <w:rFonts w:hint="eastAsia" w:ascii="宋体" w:hAnsi="宋体" w:eastAsia="宋体"/>
                <w:sz w:val="24"/>
                <w:szCs w:val="24"/>
              </w:rPr>
              <w:t>难点：互联网自由的相对性理解。</w:t>
            </w:r>
          </w:p>
        </w:tc>
        <w:tc>
          <w:tcPr>
            <w:tcW w:w="1555" w:type="dxa"/>
            <w:vAlign w:val="center"/>
          </w:tcPr>
          <w:p w14:paraId="5E0C76A8">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7D3109F0">
            <w:pPr>
              <w:rPr>
                <w:rFonts w:ascii="宋体" w:hAnsi="宋体" w:eastAsia="宋体"/>
                <w:sz w:val="24"/>
                <w:szCs w:val="24"/>
              </w:rPr>
            </w:pPr>
            <w:r>
              <w:rPr>
                <w:rFonts w:hint="eastAsia" w:ascii="宋体" w:hAnsi="宋体" w:eastAsia="宋体"/>
                <w:sz w:val="24"/>
                <w:szCs w:val="24"/>
              </w:rPr>
              <w:t>唐琼</w:t>
            </w:r>
          </w:p>
        </w:tc>
      </w:tr>
      <w:tr w14:paraId="44E4436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054EE54">
            <w:pPr>
              <w:rPr>
                <w:rFonts w:ascii="宋体" w:hAnsi="宋体" w:eastAsia="宋体"/>
                <w:sz w:val="24"/>
                <w:szCs w:val="24"/>
              </w:rPr>
            </w:pPr>
            <w:r>
              <w:rPr>
                <w:rFonts w:hint="eastAsia" w:ascii="宋体" w:hAnsi="宋体" w:eastAsia="宋体"/>
                <w:sz w:val="24"/>
                <w:szCs w:val="24"/>
              </w:rPr>
              <w:t>第10章 信息政策与数字中国战略</w:t>
            </w:r>
          </w:p>
          <w:p w14:paraId="29C9F282">
            <w:pPr>
              <w:rPr>
                <w:rFonts w:ascii="宋体" w:hAnsi="宋体" w:eastAsia="宋体"/>
                <w:sz w:val="24"/>
                <w:szCs w:val="24"/>
              </w:rPr>
            </w:pPr>
            <w:r>
              <w:rPr>
                <w:rFonts w:hint="eastAsia" w:ascii="宋体" w:hAnsi="宋体" w:eastAsia="宋体"/>
                <w:sz w:val="24"/>
                <w:szCs w:val="24"/>
              </w:rPr>
              <w:t>10.1 我国信息政策与法律的发展脉络</w:t>
            </w:r>
          </w:p>
          <w:p w14:paraId="06C85FFD">
            <w:pPr>
              <w:rPr>
                <w:rFonts w:ascii="宋体" w:hAnsi="宋体" w:eastAsia="宋体"/>
                <w:sz w:val="24"/>
                <w:szCs w:val="24"/>
              </w:rPr>
            </w:pPr>
            <w:r>
              <w:rPr>
                <w:rFonts w:hint="eastAsia" w:ascii="宋体" w:hAnsi="宋体" w:eastAsia="宋体"/>
                <w:sz w:val="24"/>
                <w:szCs w:val="24"/>
              </w:rPr>
              <w:t>10.2 信息政策与法律——数字中国战略的重要实施路径</w:t>
            </w:r>
          </w:p>
          <w:p w14:paraId="5E74E6A8">
            <w:pPr>
              <w:rPr>
                <w:rFonts w:ascii="宋体" w:hAnsi="宋体" w:eastAsia="宋体"/>
                <w:sz w:val="24"/>
                <w:szCs w:val="24"/>
              </w:rPr>
            </w:pPr>
            <w:r>
              <w:rPr>
                <w:rFonts w:hint="eastAsia" w:ascii="宋体" w:hAnsi="宋体" w:eastAsia="宋体"/>
                <w:sz w:val="24"/>
                <w:szCs w:val="24"/>
              </w:rPr>
              <w:t>9.3 信息职业的责任与担当</w:t>
            </w:r>
          </w:p>
        </w:tc>
        <w:tc>
          <w:tcPr>
            <w:tcW w:w="5096" w:type="dxa"/>
            <w:vAlign w:val="center"/>
          </w:tcPr>
          <w:p w14:paraId="5FD24255">
            <w:pPr>
              <w:rPr>
                <w:rFonts w:ascii="宋体" w:hAnsi="宋体" w:eastAsia="宋体"/>
                <w:sz w:val="24"/>
                <w:szCs w:val="24"/>
              </w:rPr>
            </w:pPr>
            <w:r>
              <w:rPr>
                <w:rFonts w:hint="eastAsia" w:ascii="宋体" w:hAnsi="宋体" w:eastAsia="宋体"/>
                <w:sz w:val="24"/>
                <w:szCs w:val="24"/>
              </w:rPr>
              <w:t>我国信息化与信息政策发展的历程梳理、信息政策对数字中国发展的推动路径。</w:t>
            </w:r>
          </w:p>
        </w:tc>
        <w:tc>
          <w:tcPr>
            <w:tcW w:w="5096" w:type="dxa"/>
            <w:vAlign w:val="center"/>
          </w:tcPr>
          <w:p w14:paraId="540616B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7B730E7">
            <w:pPr>
              <w:rPr>
                <w:rFonts w:ascii="宋体" w:hAnsi="宋体" w:eastAsia="宋体"/>
                <w:sz w:val="24"/>
                <w:szCs w:val="24"/>
              </w:rPr>
            </w:pPr>
            <w:r>
              <w:rPr>
                <w:rFonts w:hint="eastAsia" w:ascii="宋体" w:hAnsi="宋体" w:eastAsia="宋体"/>
                <w:sz w:val="24"/>
                <w:szCs w:val="24"/>
              </w:rPr>
              <w:t>透过信息政策分析，明确数字中国的发展方向，关注中国的发展、中国问题，筑牢实践意识。</w:t>
            </w:r>
          </w:p>
        </w:tc>
        <w:tc>
          <w:tcPr>
            <w:tcW w:w="5096" w:type="dxa"/>
            <w:vAlign w:val="center"/>
          </w:tcPr>
          <w:p w14:paraId="66B2C1BB">
            <w:pPr>
              <w:rPr>
                <w:rFonts w:ascii="宋体" w:hAnsi="宋体" w:eastAsia="宋体"/>
                <w:sz w:val="24"/>
                <w:szCs w:val="24"/>
              </w:rPr>
            </w:pPr>
            <w:r>
              <w:rPr>
                <w:rFonts w:hint="eastAsia" w:ascii="宋体" w:hAnsi="宋体" w:eastAsia="宋体"/>
                <w:sz w:val="24"/>
                <w:szCs w:val="24"/>
              </w:rPr>
              <w:t>重点：我国信息化与信息政策发展的历程梳理。</w:t>
            </w:r>
          </w:p>
          <w:p w14:paraId="110BB29C">
            <w:pPr>
              <w:rPr>
                <w:rFonts w:ascii="宋体" w:hAnsi="宋体" w:eastAsia="宋体"/>
                <w:sz w:val="24"/>
                <w:szCs w:val="24"/>
              </w:rPr>
            </w:pPr>
            <w:r>
              <w:rPr>
                <w:rFonts w:hint="eastAsia" w:ascii="宋体" w:hAnsi="宋体" w:eastAsia="宋体"/>
                <w:sz w:val="24"/>
                <w:szCs w:val="24"/>
              </w:rPr>
              <w:t>难点：信息政策对数字中国发展的推动路径。</w:t>
            </w:r>
          </w:p>
        </w:tc>
        <w:tc>
          <w:tcPr>
            <w:tcW w:w="1555" w:type="dxa"/>
            <w:vAlign w:val="center"/>
          </w:tcPr>
          <w:p w14:paraId="48282209">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66DAA55F">
            <w:pPr>
              <w:rPr>
                <w:rFonts w:ascii="宋体" w:hAnsi="宋体" w:eastAsia="宋体"/>
                <w:sz w:val="24"/>
                <w:szCs w:val="24"/>
              </w:rPr>
            </w:pPr>
            <w:r>
              <w:rPr>
                <w:rFonts w:hint="eastAsia" w:ascii="宋体" w:hAnsi="宋体" w:eastAsia="宋体"/>
                <w:sz w:val="24"/>
                <w:szCs w:val="24"/>
              </w:rPr>
              <w:t>唐琼</w:t>
            </w:r>
          </w:p>
        </w:tc>
      </w:tr>
      <w:tr w14:paraId="7562576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33222F5">
            <w:pPr>
              <w:rPr>
                <w:rFonts w:ascii="宋体" w:hAnsi="宋体" w:eastAsia="宋体"/>
                <w:sz w:val="24"/>
                <w:szCs w:val="24"/>
              </w:rPr>
            </w:pPr>
            <w:r>
              <w:rPr>
                <w:rFonts w:hint="eastAsia" w:ascii="宋体" w:hAnsi="宋体" w:eastAsia="宋体"/>
                <w:sz w:val="24"/>
                <w:szCs w:val="24"/>
              </w:rPr>
              <w:t>小组展示：国内外信息伦理与政策案例分析（1）</w:t>
            </w:r>
          </w:p>
        </w:tc>
        <w:tc>
          <w:tcPr>
            <w:tcW w:w="5096" w:type="dxa"/>
            <w:vAlign w:val="center"/>
          </w:tcPr>
          <w:p w14:paraId="4DDAF352">
            <w:pPr>
              <w:rPr>
                <w:rFonts w:ascii="宋体" w:hAnsi="宋体" w:eastAsia="宋体"/>
                <w:sz w:val="24"/>
                <w:szCs w:val="24"/>
              </w:rPr>
            </w:pPr>
            <w:r>
              <w:rPr>
                <w:rFonts w:hint="eastAsia" w:ascii="宋体" w:hAnsi="宋体" w:eastAsia="宋体"/>
                <w:sz w:val="24"/>
                <w:szCs w:val="24"/>
              </w:rPr>
              <w:t>信息伦理与政策案例的分析。</w:t>
            </w:r>
          </w:p>
        </w:tc>
        <w:tc>
          <w:tcPr>
            <w:tcW w:w="5096" w:type="dxa"/>
            <w:vAlign w:val="center"/>
          </w:tcPr>
          <w:p w14:paraId="535FEFD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7B37800">
            <w:pPr>
              <w:rPr>
                <w:rFonts w:ascii="宋体" w:hAnsi="宋体" w:eastAsia="宋体"/>
                <w:sz w:val="24"/>
                <w:szCs w:val="24"/>
              </w:rPr>
            </w:pPr>
            <w:r>
              <w:rPr>
                <w:rFonts w:hint="eastAsia" w:ascii="宋体" w:hAnsi="宋体" w:eastAsia="宋体"/>
                <w:sz w:val="24"/>
                <w:szCs w:val="24"/>
              </w:rPr>
              <w:t>通过案例的分析，明确正确的信息伦理观与价值观在解决信息伦理问题中发挥的重要作用，以及信息政策的制定对于规范信息行为的重要作用。帮助学生梳理信息职业的使命感与责任感。</w:t>
            </w:r>
          </w:p>
        </w:tc>
        <w:tc>
          <w:tcPr>
            <w:tcW w:w="5096" w:type="dxa"/>
            <w:vAlign w:val="center"/>
          </w:tcPr>
          <w:p w14:paraId="08AF94CA">
            <w:pPr>
              <w:rPr>
                <w:rFonts w:ascii="宋体" w:hAnsi="宋体" w:eastAsia="宋体"/>
                <w:sz w:val="24"/>
                <w:szCs w:val="24"/>
              </w:rPr>
            </w:pPr>
            <w:r>
              <w:rPr>
                <w:rFonts w:hint="eastAsia" w:ascii="宋体" w:hAnsi="宋体" w:eastAsia="宋体"/>
                <w:sz w:val="24"/>
                <w:szCs w:val="24"/>
              </w:rPr>
              <w:t>重点：信息伦理与政策案例的分析。</w:t>
            </w:r>
          </w:p>
          <w:p w14:paraId="623314F8">
            <w:pPr>
              <w:rPr>
                <w:rFonts w:ascii="宋体" w:hAnsi="宋体" w:eastAsia="宋体"/>
                <w:sz w:val="24"/>
                <w:szCs w:val="24"/>
              </w:rPr>
            </w:pPr>
            <w:r>
              <w:rPr>
                <w:rFonts w:hint="eastAsia" w:ascii="宋体" w:hAnsi="宋体" w:eastAsia="宋体"/>
                <w:sz w:val="24"/>
                <w:szCs w:val="24"/>
              </w:rPr>
              <w:t>难点：案例涉及的伦理问题及其伦理规范、政策解决路径。</w:t>
            </w:r>
          </w:p>
        </w:tc>
        <w:tc>
          <w:tcPr>
            <w:tcW w:w="1555" w:type="dxa"/>
            <w:vAlign w:val="center"/>
          </w:tcPr>
          <w:p w14:paraId="7D738C93">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489981F9">
            <w:pPr>
              <w:rPr>
                <w:rFonts w:ascii="宋体" w:hAnsi="宋体" w:eastAsia="宋体"/>
                <w:sz w:val="24"/>
                <w:szCs w:val="24"/>
              </w:rPr>
            </w:pPr>
            <w:r>
              <w:rPr>
                <w:rFonts w:hint="eastAsia" w:ascii="宋体" w:hAnsi="宋体" w:eastAsia="宋体"/>
                <w:sz w:val="24"/>
                <w:szCs w:val="24"/>
              </w:rPr>
              <w:t>唐琼</w:t>
            </w:r>
          </w:p>
        </w:tc>
      </w:tr>
      <w:tr w14:paraId="3363DD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C579925">
            <w:pPr>
              <w:rPr>
                <w:rFonts w:ascii="宋体" w:hAnsi="宋体" w:eastAsia="宋体"/>
                <w:sz w:val="24"/>
                <w:szCs w:val="24"/>
              </w:rPr>
            </w:pPr>
            <w:r>
              <w:rPr>
                <w:rFonts w:hint="eastAsia" w:ascii="宋体" w:hAnsi="宋体" w:eastAsia="宋体"/>
                <w:sz w:val="24"/>
                <w:szCs w:val="24"/>
              </w:rPr>
              <w:t>小组展示：国内外信息伦理与政策案例分析（2）</w:t>
            </w:r>
          </w:p>
        </w:tc>
        <w:tc>
          <w:tcPr>
            <w:tcW w:w="5096" w:type="dxa"/>
            <w:vAlign w:val="center"/>
          </w:tcPr>
          <w:p w14:paraId="2E6EA220">
            <w:pPr>
              <w:rPr>
                <w:rFonts w:ascii="宋体" w:hAnsi="宋体" w:eastAsia="宋体"/>
                <w:sz w:val="24"/>
                <w:szCs w:val="24"/>
              </w:rPr>
            </w:pPr>
            <w:r>
              <w:rPr>
                <w:rFonts w:hint="eastAsia" w:ascii="宋体" w:hAnsi="宋体" w:eastAsia="宋体"/>
                <w:sz w:val="24"/>
                <w:szCs w:val="24"/>
              </w:rPr>
              <w:t>信息伦理与政策案例的分析。</w:t>
            </w:r>
          </w:p>
        </w:tc>
        <w:tc>
          <w:tcPr>
            <w:tcW w:w="5096" w:type="dxa"/>
            <w:vAlign w:val="center"/>
          </w:tcPr>
          <w:p w14:paraId="0BEED22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0C1384B">
            <w:pPr>
              <w:rPr>
                <w:rFonts w:ascii="宋体" w:hAnsi="宋体" w:eastAsia="宋体"/>
                <w:sz w:val="24"/>
                <w:szCs w:val="24"/>
              </w:rPr>
            </w:pPr>
            <w:r>
              <w:rPr>
                <w:rFonts w:hint="eastAsia" w:ascii="宋体" w:hAnsi="宋体" w:eastAsia="宋体"/>
                <w:sz w:val="24"/>
                <w:szCs w:val="24"/>
              </w:rPr>
              <w:t>通过案例的分析，明确正确的信息伦理观与价值观在解决信息伦理问题中发挥的重要作用，以及信息政策的制定对于规范信息行为的重要作用。帮助学生梳理信息职业的使命感与责任感。</w:t>
            </w:r>
          </w:p>
        </w:tc>
        <w:tc>
          <w:tcPr>
            <w:tcW w:w="5096" w:type="dxa"/>
            <w:vAlign w:val="center"/>
          </w:tcPr>
          <w:p w14:paraId="43E7CC8E">
            <w:pPr>
              <w:rPr>
                <w:rFonts w:ascii="宋体" w:hAnsi="宋体" w:eastAsia="宋体"/>
                <w:sz w:val="24"/>
                <w:szCs w:val="24"/>
              </w:rPr>
            </w:pPr>
            <w:r>
              <w:rPr>
                <w:rFonts w:hint="eastAsia" w:ascii="宋体" w:hAnsi="宋体" w:eastAsia="宋体"/>
                <w:sz w:val="24"/>
                <w:szCs w:val="24"/>
              </w:rPr>
              <w:t>重点：信息伦理与政策案例的分析。</w:t>
            </w:r>
          </w:p>
          <w:p w14:paraId="598EE7E6">
            <w:pPr>
              <w:rPr>
                <w:rFonts w:ascii="宋体" w:hAnsi="宋体" w:eastAsia="宋体"/>
                <w:sz w:val="24"/>
                <w:szCs w:val="24"/>
              </w:rPr>
            </w:pPr>
            <w:r>
              <w:rPr>
                <w:rFonts w:hint="eastAsia" w:ascii="宋体" w:hAnsi="宋体" w:eastAsia="宋体"/>
                <w:sz w:val="24"/>
                <w:szCs w:val="24"/>
              </w:rPr>
              <w:t>难点：案例涉及的伦理问题及其伦理规范、政策解决路径。</w:t>
            </w:r>
          </w:p>
        </w:tc>
        <w:tc>
          <w:tcPr>
            <w:tcW w:w="1555" w:type="dxa"/>
            <w:vAlign w:val="center"/>
          </w:tcPr>
          <w:p w14:paraId="4BAA5DBD">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7A8D027C">
            <w:pPr>
              <w:rPr>
                <w:rFonts w:ascii="宋体" w:hAnsi="宋体" w:eastAsia="宋体"/>
                <w:sz w:val="24"/>
                <w:szCs w:val="24"/>
              </w:rPr>
            </w:pPr>
            <w:r>
              <w:rPr>
                <w:rFonts w:hint="eastAsia" w:ascii="宋体" w:hAnsi="宋体" w:eastAsia="宋体"/>
                <w:sz w:val="24"/>
                <w:szCs w:val="24"/>
              </w:rPr>
              <w:t>唐琼</w:t>
            </w:r>
          </w:p>
        </w:tc>
      </w:tr>
      <w:tr w14:paraId="3F9F1B3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FA51933">
            <w:pPr>
              <w:rPr>
                <w:rFonts w:ascii="宋体" w:hAnsi="宋体" w:eastAsia="宋体"/>
                <w:sz w:val="24"/>
                <w:szCs w:val="24"/>
              </w:rPr>
            </w:pPr>
            <w:r>
              <w:rPr>
                <w:rFonts w:hint="eastAsia" w:ascii="宋体" w:hAnsi="宋体" w:eastAsia="宋体"/>
                <w:sz w:val="24"/>
                <w:szCs w:val="24"/>
              </w:rPr>
              <w:t>复习</w:t>
            </w:r>
          </w:p>
        </w:tc>
        <w:tc>
          <w:tcPr>
            <w:tcW w:w="5096" w:type="dxa"/>
            <w:vAlign w:val="center"/>
          </w:tcPr>
          <w:p w14:paraId="3E8A3256">
            <w:pPr>
              <w:rPr>
                <w:rFonts w:ascii="宋体" w:hAnsi="宋体" w:eastAsia="宋体"/>
                <w:sz w:val="24"/>
                <w:szCs w:val="24"/>
              </w:rPr>
            </w:pPr>
            <w:r>
              <w:rPr>
                <w:rFonts w:hint="eastAsia" w:ascii="宋体" w:hAnsi="宋体" w:eastAsia="宋体"/>
                <w:sz w:val="24"/>
                <w:szCs w:val="24"/>
              </w:rPr>
              <w:t>梳理本学期课程教学的重点、难点。</w:t>
            </w:r>
          </w:p>
        </w:tc>
        <w:tc>
          <w:tcPr>
            <w:tcW w:w="5096" w:type="dxa"/>
            <w:vAlign w:val="center"/>
          </w:tcPr>
          <w:p w14:paraId="49708CA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6BDAD6D">
            <w:pPr>
              <w:rPr>
                <w:rFonts w:ascii="宋体" w:hAnsi="宋体" w:eastAsia="宋体"/>
                <w:sz w:val="24"/>
                <w:szCs w:val="24"/>
              </w:rPr>
            </w:pPr>
            <w:r>
              <w:rPr>
                <w:rFonts w:hint="eastAsia" w:ascii="宋体" w:hAnsi="宋体" w:eastAsia="宋体"/>
                <w:sz w:val="24"/>
                <w:szCs w:val="24"/>
              </w:rPr>
              <w:t>通过梳理、回顾课程所学内容，筑牢学生所树立的中华民族伟大复兴应具有的信息伦理与道德意识；以及为推动中华民族伟大复兴应有的职业使命感与责任感。</w:t>
            </w:r>
          </w:p>
        </w:tc>
        <w:tc>
          <w:tcPr>
            <w:tcW w:w="5096" w:type="dxa"/>
            <w:vAlign w:val="center"/>
          </w:tcPr>
          <w:p w14:paraId="0F5E034A">
            <w:pPr>
              <w:rPr>
                <w:rFonts w:ascii="宋体" w:hAnsi="宋体" w:eastAsia="宋体"/>
                <w:sz w:val="24"/>
                <w:szCs w:val="24"/>
              </w:rPr>
            </w:pPr>
          </w:p>
        </w:tc>
        <w:tc>
          <w:tcPr>
            <w:tcW w:w="1555" w:type="dxa"/>
            <w:vAlign w:val="center"/>
          </w:tcPr>
          <w:p w14:paraId="4D8C49E1">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48F44FDF">
            <w:pPr>
              <w:rPr>
                <w:rFonts w:ascii="宋体" w:hAnsi="宋体" w:eastAsia="宋体"/>
                <w:sz w:val="24"/>
                <w:szCs w:val="24"/>
              </w:rPr>
            </w:pPr>
            <w:r>
              <w:rPr>
                <w:rFonts w:hint="eastAsia" w:ascii="宋体" w:hAnsi="宋体" w:eastAsia="宋体"/>
                <w:sz w:val="24"/>
                <w:szCs w:val="24"/>
              </w:rPr>
              <w:t>唐琼</w:t>
            </w:r>
          </w:p>
        </w:tc>
      </w:tr>
      <w:tr w14:paraId="64D01C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08DF6D6">
            <w:pPr>
              <w:rPr>
                <w:rFonts w:ascii="宋体" w:hAnsi="宋体" w:eastAsia="宋体"/>
                <w:sz w:val="24"/>
                <w:szCs w:val="24"/>
              </w:rPr>
            </w:pPr>
            <w:r>
              <w:rPr>
                <w:rFonts w:hint="eastAsia" w:ascii="宋体" w:hAnsi="宋体" w:eastAsia="宋体"/>
                <w:sz w:val="24"/>
                <w:szCs w:val="24"/>
              </w:rPr>
              <w:t>考试</w:t>
            </w:r>
          </w:p>
        </w:tc>
        <w:tc>
          <w:tcPr>
            <w:tcW w:w="5096" w:type="dxa"/>
            <w:vAlign w:val="center"/>
          </w:tcPr>
          <w:p w14:paraId="4AD02F33">
            <w:pPr>
              <w:rPr>
                <w:rFonts w:ascii="宋体" w:hAnsi="宋体" w:eastAsia="宋体"/>
                <w:sz w:val="24"/>
                <w:szCs w:val="24"/>
              </w:rPr>
            </w:pPr>
            <w:r>
              <w:rPr>
                <w:rFonts w:hint="eastAsia" w:ascii="宋体" w:hAnsi="宋体" w:eastAsia="宋体"/>
                <w:sz w:val="24"/>
                <w:szCs w:val="24"/>
              </w:rPr>
              <w:t>开卷，考察课程重点内容的掌握情况。</w:t>
            </w:r>
          </w:p>
        </w:tc>
        <w:tc>
          <w:tcPr>
            <w:tcW w:w="5096" w:type="dxa"/>
            <w:vAlign w:val="center"/>
          </w:tcPr>
          <w:p w14:paraId="24FF0B1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762E959">
            <w:pPr>
              <w:rPr>
                <w:rFonts w:ascii="宋体" w:hAnsi="宋体" w:eastAsia="宋体"/>
                <w:sz w:val="24"/>
                <w:szCs w:val="24"/>
              </w:rPr>
            </w:pPr>
            <w:r>
              <w:rPr>
                <w:rFonts w:hint="eastAsia" w:ascii="宋体" w:hAnsi="宋体" w:eastAsia="宋体"/>
                <w:sz w:val="24"/>
                <w:szCs w:val="24"/>
              </w:rPr>
              <w:t>考察学生正确的信息伦理观、价值观的树立情况，以及四个自信意识的确立情况。</w:t>
            </w:r>
          </w:p>
        </w:tc>
        <w:tc>
          <w:tcPr>
            <w:tcW w:w="5096" w:type="dxa"/>
            <w:vAlign w:val="center"/>
          </w:tcPr>
          <w:p w14:paraId="4A8E397E">
            <w:pPr>
              <w:rPr>
                <w:rFonts w:ascii="宋体" w:hAnsi="宋体" w:eastAsia="宋体"/>
                <w:sz w:val="24"/>
                <w:szCs w:val="24"/>
              </w:rPr>
            </w:pPr>
          </w:p>
        </w:tc>
        <w:tc>
          <w:tcPr>
            <w:tcW w:w="1555" w:type="dxa"/>
            <w:vAlign w:val="center"/>
          </w:tcPr>
          <w:p w14:paraId="23C2BCA4">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38092722">
            <w:pPr>
              <w:rPr>
                <w:rFonts w:ascii="宋体" w:hAnsi="宋体" w:eastAsia="宋体"/>
                <w:sz w:val="24"/>
                <w:szCs w:val="24"/>
              </w:rPr>
            </w:pPr>
            <w:r>
              <w:rPr>
                <w:rFonts w:hint="eastAsia" w:ascii="宋体" w:hAnsi="宋体" w:eastAsia="宋体"/>
                <w:sz w:val="24"/>
                <w:szCs w:val="24"/>
              </w:rPr>
              <w:t>唐琼</w:t>
            </w:r>
          </w:p>
        </w:tc>
      </w:tr>
      <w:tr w14:paraId="36718C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BD525AB">
            <w:pPr>
              <w:rPr>
                <w:rFonts w:ascii="宋体" w:hAnsi="宋体" w:eastAsia="宋体"/>
                <w:sz w:val="24"/>
                <w:szCs w:val="24"/>
              </w:rPr>
            </w:pPr>
            <w:r>
              <w:rPr>
                <w:rFonts w:hint="eastAsia" w:ascii="宋体" w:hAnsi="宋体" w:eastAsia="宋体"/>
                <w:sz w:val="24"/>
                <w:szCs w:val="24"/>
              </w:rPr>
              <w:t>改卷登分</w:t>
            </w:r>
          </w:p>
        </w:tc>
        <w:tc>
          <w:tcPr>
            <w:tcW w:w="5096" w:type="dxa"/>
            <w:vAlign w:val="center"/>
          </w:tcPr>
          <w:p w14:paraId="2A27F8B3">
            <w:pPr>
              <w:rPr>
                <w:rFonts w:ascii="宋体" w:hAnsi="宋体" w:eastAsia="宋体"/>
                <w:sz w:val="24"/>
                <w:szCs w:val="24"/>
              </w:rPr>
            </w:pPr>
            <w:r>
              <w:rPr>
                <w:rFonts w:hint="eastAsia" w:ascii="宋体" w:hAnsi="宋体" w:eastAsia="宋体"/>
                <w:sz w:val="24"/>
                <w:szCs w:val="24"/>
              </w:rPr>
              <w:t>开卷，考察课程重点内容的掌握情况。</w:t>
            </w:r>
          </w:p>
        </w:tc>
        <w:tc>
          <w:tcPr>
            <w:tcW w:w="5096" w:type="dxa"/>
            <w:vAlign w:val="center"/>
          </w:tcPr>
          <w:p w14:paraId="175252BF">
            <w:pPr>
              <w:rPr>
                <w:rFonts w:ascii="宋体" w:hAnsi="宋体" w:eastAsia="宋体"/>
                <w:sz w:val="24"/>
                <w:szCs w:val="24"/>
              </w:rPr>
            </w:pPr>
            <w:r>
              <w:rPr>
                <w:rFonts w:hint="eastAsia" w:ascii="宋体" w:hAnsi="宋体" w:eastAsia="宋体"/>
                <w:sz w:val="24"/>
                <w:szCs w:val="24"/>
              </w:rPr>
              <w:t>0</w:t>
            </w:r>
          </w:p>
        </w:tc>
        <w:tc>
          <w:tcPr>
            <w:tcW w:w="5096" w:type="dxa"/>
            <w:vAlign w:val="center"/>
          </w:tcPr>
          <w:p w14:paraId="6008D17B">
            <w:pPr>
              <w:rPr>
                <w:rFonts w:ascii="宋体" w:hAnsi="宋体" w:eastAsia="宋体"/>
                <w:sz w:val="24"/>
                <w:szCs w:val="24"/>
              </w:rPr>
            </w:pPr>
            <w:r>
              <w:rPr>
                <w:rFonts w:hint="eastAsia" w:ascii="宋体" w:hAnsi="宋体" w:eastAsia="宋体"/>
                <w:sz w:val="24"/>
                <w:szCs w:val="24"/>
              </w:rPr>
              <w:t>考察学生正确的信息伦理观、价值观的树立情况，以及四个自信意识的确立情况。</w:t>
            </w:r>
          </w:p>
        </w:tc>
        <w:tc>
          <w:tcPr>
            <w:tcW w:w="5096" w:type="dxa"/>
            <w:vAlign w:val="center"/>
          </w:tcPr>
          <w:p w14:paraId="6E52FB52">
            <w:pPr>
              <w:rPr>
                <w:rFonts w:ascii="宋体" w:hAnsi="宋体" w:eastAsia="宋体"/>
                <w:sz w:val="24"/>
                <w:szCs w:val="24"/>
              </w:rPr>
            </w:pPr>
          </w:p>
        </w:tc>
        <w:tc>
          <w:tcPr>
            <w:tcW w:w="1555" w:type="dxa"/>
            <w:vAlign w:val="center"/>
          </w:tcPr>
          <w:p w14:paraId="151838E8">
            <w:pPr>
              <w:jc w:val="center"/>
              <w:rPr>
                <w:rFonts w:ascii="宋体" w:hAnsi="宋体" w:eastAsia="宋体"/>
                <w:sz w:val="24"/>
                <w:szCs w:val="24"/>
              </w:rPr>
            </w:pPr>
            <w:r>
              <w:rPr>
                <w:rFonts w:hint="eastAsia" w:ascii="宋体" w:hAnsi="宋体" w:eastAsia="宋体"/>
                <w:sz w:val="24"/>
                <w:szCs w:val="24"/>
              </w:rPr>
              <w:t>第19 周</w:t>
            </w:r>
          </w:p>
        </w:tc>
        <w:tc>
          <w:tcPr>
            <w:tcW w:w="5096" w:type="dxa"/>
            <w:vAlign w:val="center"/>
          </w:tcPr>
          <w:p w14:paraId="0483C5F5">
            <w:pPr>
              <w:rPr>
                <w:rFonts w:ascii="宋体" w:hAnsi="宋体" w:eastAsia="宋体"/>
                <w:sz w:val="24"/>
                <w:szCs w:val="24"/>
              </w:rPr>
            </w:pPr>
            <w:r>
              <w:rPr>
                <w:rFonts w:hint="eastAsia" w:ascii="宋体" w:hAnsi="宋体" w:eastAsia="宋体"/>
                <w:sz w:val="24"/>
                <w:szCs w:val="24"/>
              </w:rPr>
              <w:t>唐琼</w:t>
            </w:r>
          </w:p>
        </w:tc>
      </w:tr>
    </w:tbl>
    <w:p w14:paraId="3885D32C">
      <w:pPr>
        <w:spacing w:line="480" w:lineRule="exact"/>
        <w:ind w:firstLine="360" w:firstLineChars="150"/>
        <w:rPr>
          <w:rFonts w:hint="eastAsia"/>
          <w:sz w:val="24"/>
        </w:rPr>
      </w:pPr>
      <w:r>
        <w:rPr>
          <w:sz w:val="24"/>
        </w:rPr>
        <w:t>合计:36</w:t>
      </w:r>
    </w:p>
    <w:p w14:paraId="576AC6E3">
      <w:pPr>
        <w:spacing w:line="480" w:lineRule="exact"/>
        <w:rPr>
          <w:sz w:val="24"/>
        </w:rPr>
      </w:pPr>
    </w:p>
    <w:p w14:paraId="68F079E4">
      <w:pPr>
        <w:spacing w:line="480" w:lineRule="exact"/>
        <w:rPr>
          <w:rFonts w:hint="eastAsia"/>
          <w:sz w:val="24"/>
        </w:rPr>
      </w:pPr>
    </w:p>
    <w:p w14:paraId="536931AA">
      <w:pPr>
        <w:spacing w:line="480" w:lineRule="exact"/>
        <w:ind w:firstLine="480" w:firstLineChars="200"/>
        <w:rPr>
          <w:sz w:val="24"/>
        </w:rPr>
      </w:pPr>
      <w:r>
        <w:rPr>
          <w:sz w:val="24"/>
        </w:rPr>
        <w:t>（二）</w:t>
      </w:r>
      <w:r>
        <w:rPr>
          <w:b/>
          <w:sz w:val="24"/>
        </w:rPr>
        <w:t>教学环节安排</w:t>
      </w:r>
    </w:p>
    <w:p w14:paraId="67F37BA9">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63940D82">
      <w:pPr>
        <w:spacing w:line="480" w:lineRule="exact"/>
        <w:ind w:firstLine="360" w:firstLineChars="150"/>
        <w:rPr>
          <w:rFonts w:hint="eastAsia"/>
          <w:sz w:val="24"/>
        </w:rPr>
      </w:pPr>
      <w:r>
        <w:rPr>
          <w:sz w:val="24"/>
        </w:rPr>
        <w:t>课程讲授：22学时；课堂研讨：8学时；实践课程：4学时；复习考试：2学时</w:t>
      </w:r>
    </w:p>
    <w:p w14:paraId="11547ADC">
      <w:pPr>
        <w:spacing w:line="480" w:lineRule="exact"/>
        <w:ind w:firstLine="360" w:firstLineChars="150"/>
        <w:rPr>
          <w:rFonts w:hint="eastAsia"/>
          <w:sz w:val="24"/>
        </w:rPr>
      </w:pPr>
      <w:r>
        <w:rPr>
          <w:sz w:val="24"/>
        </w:rPr>
        <w:t>课程作业、实践及小组展示均紧密结合课程内容展开，注重考察学生实际运用知识的能力。</w:t>
      </w:r>
    </w:p>
    <w:p w14:paraId="21F2E582">
      <w:pPr>
        <w:spacing w:line="480" w:lineRule="exact"/>
        <w:ind w:firstLine="360" w:firstLineChars="150"/>
        <w:rPr>
          <w:rFonts w:hint="eastAsia"/>
          <w:sz w:val="24"/>
        </w:rPr>
      </w:pPr>
    </w:p>
    <w:p w14:paraId="487334A1">
      <w:pPr>
        <w:spacing w:line="480" w:lineRule="exact"/>
        <w:rPr>
          <w:sz w:val="24"/>
        </w:rPr>
      </w:pPr>
    </w:p>
    <w:p w14:paraId="7F6044F5">
      <w:pPr>
        <w:spacing w:line="480" w:lineRule="exact"/>
        <w:ind w:firstLine="480" w:firstLineChars="200"/>
        <w:rPr>
          <w:rFonts w:hint="eastAsia"/>
          <w:sz w:val="24"/>
        </w:rPr>
      </w:pPr>
      <w:r>
        <w:rPr>
          <w:sz w:val="24"/>
        </w:rPr>
        <w:t>（三）</w:t>
      </w:r>
      <w:r>
        <w:rPr>
          <w:b/>
          <w:sz w:val="24"/>
        </w:rPr>
        <w:t>教学方法</w:t>
      </w:r>
    </w:p>
    <w:p w14:paraId="66FC0E5F">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39DEDBD9">
      <w:pPr>
        <w:spacing w:line="480" w:lineRule="exact"/>
        <w:ind w:firstLine="360" w:firstLineChars="150"/>
        <w:rPr>
          <w:rFonts w:hint="eastAsia"/>
          <w:sz w:val="24"/>
        </w:rPr>
      </w:pPr>
      <w:r>
        <w:rPr>
          <w:sz w:val="24"/>
        </w:rPr>
        <w:t>1、线上线下混合式、讨论式的教学。对于理论性强的内容，安排专题先由学生线上自学，然后由学生在课堂上向同学讲述，大家再一起讨论、分析和评价。这样，就能使每个学生都有兴趣积极参与，活跃课堂气氛，避免枯燥空洞的说教，也培养了学生们的自学能力。</w:t>
      </w:r>
    </w:p>
    <w:p w14:paraId="647BCAA3">
      <w:pPr>
        <w:spacing w:line="480" w:lineRule="exact"/>
        <w:ind w:firstLine="360" w:firstLineChars="150"/>
        <w:rPr>
          <w:rFonts w:hint="eastAsia"/>
          <w:sz w:val="24"/>
        </w:rPr>
      </w:pPr>
      <w:r>
        <w:rPr>
          <w:sz w:val="24"/>
        </w:rPr>
        <w:t>2、案例教学。选取现实社会中生动的例子出发，解释课本中枯燥的理论和方法。启发学生去理解一些难点和疑点。将难点疑点化解为可理解的更容易接受的知识点。</w:t>
      </w:r>
    </w:p>
    <w:p w14:paraId="011133A8">
      <w:pPr>
        <w:spacing w:line="480" w:lineRule="exact"/>
        <w:ind w:firstLine="360" w:firstLineChars="150"/>
        <w:rPr>
          <w:rFonts w:hint="eastAsia"/>
          <w:sz w:val="24"/>
        </w:rPr>
      </w:pPr>
    </w:p>
    <w:p w14:paraId="18CFC9AC">
      <w:pPr>
        <w:spacing w:line="480" w:lineRule="exact"/>
        <w:ind w:firstLine="360" w:firstLineChars="150"/>
        <w:rPr>
          <w:sz w:val="24"/>
        </w:rPr>
      </w:pPr>
    </w:p>
    <w:p w14:paraId="77287D0A">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04C3347D">
      <w:pPr>
        <w:spacing w:line="480" w:lineRule="exact"/>
        <w:ind w:firstLine="360" w:firstLineChars="150"/>
        <w:rPr>
          <w:sz w:val="24"/>
        </w:rPr>
      </w:pPr>
      <w:r>
        <w:rPr>
          <w:rFonts w:hint="eastAsia"/>
          <w:sz w:val="24"/>
        </w:rPr>
        <w:t>吕耀怀等著.数字化生存的道德空间：信息伦理学的理论与实践[M]. 北京：中国人民大学出版社，2018</w:t>
      </w:r>
    </w:p>
    <w:p w14:paraId="408CEE42">
      <w:pPr>
        <w:spacing w:line="480" w:lineRule="exact"/>
        <w:ind w:firstLine="360" w:firstLineChars="150"/>
        <w:rPr>
          <w:sz w:val="24"/>
        </w:rPr>
      </w:pPr>
    </w:p>
    <w:p w14:paraId="1C4FEA51">
      <w:pPr>
        <w:spacing w:line="480" w:lineRule="exact"/>
        <w:ind w:firstLine="480" w:firstLineChars="200"/>
        <w:rPr>
          <w:sz w:val="24"/>
        </w:rPr>
      </w:pPr>
      <w:r>
        <w:rPr>
          <w:sz w:val="24"/>
        </w:rPr>
        <w:t>（五）</w:t>
      </w:r>
      <w:r>
        <w:rPr>
          <w:b/>
          <w:sz w:val="24"/>
        </w:rPr>
        <w:t>主要参考书目</w:t>
      </w:r>
    </w:p>
    <w:p w14:paraId="5F670BC1">
      <w:pPr>
        <w:spacing w:line="480" w:lineRule="exact"/>
        <w:ind w:firstLine="482" w:firstLineChars="200"/>
        <w:rPr>
          <w:sz w:val="24"/>
        </w:rPr>
      </w:pPr>
      <w:r>
        <w:rPr>
          <w:b/>
          <w:sz w:val="24"/>
        </w:rPr>
        <w:t>（推荐若干参考书，并注明书名、作者、出版社、版本、出版日期等，每个章节指定一定数量、明确的阅读资料）</w:t>
      </w:r>
    </w:p>
    <w:p w14:paraId="040830F9">
      <w:pPr>
        <w:spacing w:line="480" w:lineRule="exact"/>
        <w:ind w:firstLine="360" w:firstLineChars="150"/>
        <w:rPr>
          <w:sz w:val="24"/>
        </w:rPr>
      </w:pPr>
      <w:r>
        <w:rPr>
          <w:rFonts w:hint="eastAsia"/>
          <w:sz w:val="24"/>
        </w:rPr>
        <w:t>1. 陈则谦等. 信息政策与法规[M].北京：科学出版社，2024</w:t>
      </w:r>
    </w:p>
    <w:p w14:paraId="1FD45858">
      <w:pPr>
        <w:spacing w:line="480" w:lineRule="exact"/>
        <w:ind w:firstLine="360" w:firstLineChars="150"/>
        <w:rPr>
          <w:sz w:val="24"/>
        </w:rPr>
      </w:pPr>
      <w:r>
        <w:rPr>
          <w:rFonts w:hint="eastAsia"/>
          <w:sz w:val="24"/>
        </w:rPr>
        <w:t>2. 赵云泽等著.中国社会转型焦虑与互联网伦理[M].北京：中国人民大学出版社，2017</w:t>
      </w:r>
    </w:p>
    <w:p w14:paraId="5FE3D183">
      <w:pPr>
        <w:spacing w:line="480" w:lineRule="exact"/>
        <w:ind w:firstLine="360" w:firstLineChars="150"/>
        <w:rPr>
          <w:sz w:val="24"/>
        </w:rPr>
      </w:pPr>
      <w:r>
        <w:rPr>
          <w:rFonts w:hint="eastAsia"/>
          <w:sz w:val="24"/>
        </w:rPr>
        <w:t>3. 沙勇忠. 信息伦理学[M].北京:北京图书馆出版社,2004</w:t>
      </w:r>
    </w:p>
    <w:p w14:paraId="308DE96D">
      <w:pPr>
        <w:spacing w:line="480" w:lineRule="exact"/>
        <w:ind w:firstLine="480" w:firstLineChars="200"/>
        <w:rPr>
          <w:sz w:val="24"/>
        </w:rPr>
      </w:pPr>
      <w:r>
        <w:rPr>
          <w:sz w:val="24"/>
        </w:rPr>
        <w:t>（六）</w:t>
      </w:r>
      <w:r>
        <w:rPr>
          <w:b/>
          <w:sz w:val="24"/>
        </w:rPr>
        <w:t>成绩评定方式</w:t>
      </w:r>
    </w:p>
    <w:p w14:paraId="468B2984">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50178EC4">
      <w:pPr>
        <w:spacing w:line="480" w:lineRule="exact"/>
        <w:ind w:firstLine="482" w:firstLineChars="200"/>
        <w:rPr>
          <w:sz w:val="24"/>
        </w:rPr>
      </w:pPr>
      <w:r>
        <w:rPr>
          <w:rFonts w:hint="eastAsia"/>
          <w:b/>
          <w:sz w:val="24"/>
        </w:rPr>
        <w:t>考 核 方 式：考试</w:t>
      </w:r>
    </w:p>
    <w:p w14:paraId="740628F3">
      <w:pPr>
        <w:spacing w:line="480" w:lineRule="exact"/>
        <w:ind w:firstLine="482" w:firstLineChars="200"/>
        <w:rPr>
          <w:sz w:val="24"/>
        </w:rPr>
      </w:pPr>
      <w:r>
        <w:rPr>
          <w:rFonts w:hint="eastAsia"/>
          <w:b/>
          <w:sz w:val="24"/>
        </w:rPr>
        <w:t>成绩录入方式： 百分制</w:t>
      </w:r>
    </w:p>
    <w:p w14:paraId="4265ED7C">
      <w:pPr>
        <w:spacing w:line="480" w:lineRule="exact"/>
        <w:ind w:firstLine="360" w:firstLineChars="150"/>
        <w:rPr>
          <w:sz w:val="24"/>
        </w:rPr>
      </w:pPr>
      <w:r>
        <w:rPr>
          <w:rFonts w:hint="eastAsia"/>
          <w:sz w:val="24"/>
        </w:rPr>
        <w:t>（1）考核目的：通过考核检查学生对本课程教学知识点的掌握程度及灵活运用的情况。</w:t>
      </w:r>
    </w:p>
    <w:p w14:paraId="2EC4294B">
      <w:pPr>
        <w:spacing w:line="480" w:lineRule="exact"/>
        <w:ind w:firstLine="360" w:firstLineChars="150"/>
        <w:rPr>
          <w:sz w:val="24"/>
        </w:rPr>
      </w:pPr>
      <w:r>
        <w:rPr>
          <w:rFonts w:hint="eastAsia"/>
          <w:sz w:val="24"/>
        </w:rPr>
        <w:t>（2）考核形式：期末考核采取开卷考试的方式，总成绩为期末成绩与平时考查相结合。</w:t>
      </w:r>
    </w:p>
    <w:p w14:paraId="34576E3B">
      <w:pPr>
        <w:spacing w:line="480" w:lineRule="exact"/>
        <w:ind w:firstLine="360" w:firstLineChars="150"/>
        <w:rPr>
          <w:sz w:val="24"/>
        </w:rPr>
      </w:pPr>
      <w:r>
        <w:rPr>
          <w:rFonts w:hint="eastAsia"/>
          <w:sz w:val="24"/>
        </w:rPr>
        <w:t>（3）成绩评定：成绩评定采用百分制，期末成绩占总评成绩的40%，平时成绩占总评成绩的60%。平时成绩=课堂考勤(10%)+课堂讨论(20%)+个人作业（40%）+小组展示（30%）。平时作业主要包括：国家数据安全案例研讨、个人信息安全问题研讨、人工智能伦理与政策的研讨、信息公平保障政策调研、国内外信息伦理与政策案例分析报告。</w:t>
      </w:r>
    </w:p>
    <w:p w14:paraId="0A1CB878">
      <w:pPr>
        <w:spacing w:line="480" w:lineRule="exact"/>
        <w:ind w:firstLine="360" w:firstLineChars="150"/>
        <w:rPr>
          <w:sz w:val="24"/>
        </w:rPr>
      </w:pPr>
    </w:p>
    <w:p w14:paraId="0CDFAD48">
      <w:pPr>
        <w:spacing w:line="480" w:lineRule="exact"/>
        <w:rPr>
          <w:sz w:val="24"/>
        </w:rPr>
      </w:pPr>
    </w:p>
    <w:p w14:paraId="6B7CB203">
      <w:pPr>
        <w:spacing w:line="480" w:lineRule="exact"/>
        <w:rPr>
          <w:sz w:val="24"/>
        </w:rPr>
      </w:pPr>
    </w:p>
    <w:p w14:paraId="2A02D84A">
      <w:pPr>
        <w:spacing w:line="480" w:lineRule="exact"/>
        <w:rPr>
          <w:sz w:val="24"/>
        </w:rPr>
      </w:pPr>
    </w:p>
    <w:p w14:paraId="3FA9B081">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59CE0E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10</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2026-04-12T06:23:07Z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8B37D74677514673954B7CBD785CC1FB_13</vt:lpwstr>
  </property>
</Properties>
</file>