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5FE1AE">
      <w:pPr>
        <w:spacing w:line="480" w:lineRule="exact"/>
        <w:rPr>
          <w:sz w:val="24"/>
          <w:szCs w:val="24"/>
        </w:rPr>
      </w:pPr>
      <w:bookmarkStart w:id="0" w:name="_GoBack"/>
      <w:bookmarkEnd w:id="0"/>
    </w:p>
    <w:p w14:paraId="186199A5">
      <w:pPr>
        <w:spacing w:line="1480" w:lineRule="exact"/>
        <w:jc w:val="center"/>
        <w:rPr>
          <w:rFonts w:eastAsia="楷体_GB2312"/>
          <w:b/>
          <w:bCs/>
          <w:spacing w:val="40"/>
          <w:sz w:val="72"/>
          <w:szCs w:val="72"/>
        </w:rPr>
      </w:pPr>
      <w:r>
        <w:rPr>
          <w:rFonts w:hint="eastAsia" w:ascii="宋体" w:hAnsi="宋体" w:eastAsia="宋体" w:cs="宋体"/>
          <w:b/>
          <w:bCs/>
          <w:spacing w:val="40"/>
          <w:sz w:val="72"/>
          <w:szCs w:val="72"/>
        </w:rPr>
        <w:t>中山大学</w:t>
      </w:r>
    </w:p>
    <w:p w14:paraId="735002B7">
      <w:pPr>
        <w:spacing w:before="435" w:beforeLines="100" w:line="640" w:lineRule="exact"/>
        <w:jc w:val="center"/>
        <w:rPr>
          <w:rFonts w:eastAsia="黑体"/>
          <w:sz w:val="56"/>
          <w:szCs w:val="56"/>
        </w:rPr>
      </w:pPr>
      <w:r>
        <w:rPr>
          <w:rFonts w:ascii="黑体" w:hAnsi="黑体" w:eastAsia="黑体"/>
          <w:sz w:val="56"/>
          <w:szCs w:val="56"/>
        </w:rPr>
        <w:t>本科公选课程教学大纲</w:t>
      </w:r>
    </w:p>
    <w:p w14:paraId="5F851406">
      <w:pPr>
        <w:spacing w:line="1480" w:lineRule="exact"/>
        <w:jc w:val="center"/>
        <w:rPr>
          <w:rFonts w:eastAsia="宋体"/>
          <w:sz w:val="52"/>
          <w:szCs w:val="52"/>
        </w:rPr>
      </w:pPr>
    </w:p>
    <w:p w14:paraId="0F5E199A">
      <w:pPr>
        <w:spacing w:line="480" w:lineRule="exact"/>
        <w:ind w:firstLine="2127" w:firstLineChars="709"/>
        <w:rPr>
          <w:rFonts w:eastAsia="黑体"/>
          <w:sz w:val="30"/>
          <w:szCs w:val="30"/>
          <w:u w:val="single"/>
        </w:rPr>
      </w:pPr>
      <w:r>
        <w:rPr>
          <w:rFonts w:ascii="黑体" w:hAnsi="黑体" w:eastAsia="黑体"/>
          <w:sz w:val="30"/>
          <w:szCs w:val="30"/>
        </w:rPr>
        <w:t>学院（系）</w:t>
      </w:r>
      <w:r>
        <w:rPr>
          <w:rFonts w:eastAsia="黑体"/>
          <w:sz w:val="30"/>
          <w:szCs w:val="30"/>
          <w:u w:val="single"/>
        </w:rPr>
        <w:t>信息管理学院</w:t>
      </w:r>
    </w:p>
    <w:p w14:paraId="2808E03F">
      <w:pPr>
        <w:spacing w:line="480" w:lineRule="exact"/>
        <w:ind w:firstLine="2127" w:firstLineChars="709"/>
        <w:rPr>
          <w:rFonts w:eastAsia="黑体"/>
          <w:sz w:val="30"/>
          <w:szCs w:val="30"/>
          <w:u w:val="single"/>
        </w:rPr>
      </w:pPr>
    </w:p>
    <w:p w14:paraId="778F864F">
      <w:pPr>
        <w:spacing w:line="480" w:lineRule="exact"/>
        <w:ind w:firstLine="2127" w:firstLineChars="709"/>
        <w:rPr>
          <w:rFonts w:eastAsia="宋体"/>
          <w:sz w:val="30"/>
          <w:szCs w:val="30"/>
          <w:u w:val="single"/>
        </w:rPr>
      </w:pPr>
      <w:r>
        <w:rPr>
          <w:rFonts w:ascii="黑体" w:hAnsi="黑体" w:eastAsia="黑体"/>
          <w:sz w:val="30"/>
          <w:szCs w:val="30"/>
        </w:rPr>
        <w:t>课程名称</w:t>
      </w:r>
      <w:r>
        <w:rPr>
          <w:rFonts w:eastAsia="黑体"/>
          <w:sz w:val="30"/>
          <w:szCs w:val="30"/>
          <w:u w:val="single"/>
        </w:rPr>
        <w:t xml:space="preserve"> 专利战略：数据驱动的科技竞争</w:t>
      </w:r>
    </w:p>
    <w:p w14:paraId="58207218">
      <w:pPr>
        <w:spacing w:line="900" w:lineRule="exact"/>
        <w:ind w:firstLine="3600" w:firstLineChars="1200"/>
        <w:rPr>
          <w:sz w:val="30"/>
          <w:szCs w:val="30"/>
        </w:rPr>
      </w:pPr>
    </w:p>
    <w:p w14:paraId="6FC5E40C">
      <w:pPr>
        <w:spacing w:line="900" w:lineRule="exact"/>
        <w:jc w:val="center"/>
        <w:rPr>
          <w:b/>
          <w:bCs/>
          <w:kern w:val="28"/>
        </w:rPr>
      </w:pPr>
    </w:p>
    <w:p w14:paraId="15CA9EB1">
      <w:pPr>
        <w:spacing w:line="900" w:lineRule="exact"/>
        <w:jc w:val="center"/>
        <w:rPr>
          <w:b/>
          <w:bCs/>
          <w:kern w:val="28"/>
        </w:rPr>
      </w:pPr>
    </w:p>
    <w:p w14:paraId="1936A95F">
      <w:pPr>
        <w:spacing w:line="900" w:lineRule="exact"/>
        <w:jc w:val="center"/>
        <w:rPr>
          <w:b/>
          <w:bCs/>
          <w:kern w:val="28"/>
        </w:rPr>
      </w:pPr>
    </w:p>
    <w:p w14:paraId="315BDD20">
      <w:pPr>
        <w:widowControl/>
        <w:ind w:firstLine="2891" w:firstLineChars="900"/>
        <w:jc w:val="left"/>
        <w:rPr>
          <w:rFonts w:ascii="仿宋_GB2312"/>
          <w:b/>
          <w:bCs/>
          <w:kern w:val="28"/>
        </w:rPr>
      </w:pPr>
      <w:r>
        <w:rPr>
          <w:rFonts w:ascii="仿宋_GB2312"/>
          <w:b/>
          <w:bCs/>
          <w:kern w:val="28"/>
        </w:rPr>
        <w:t>中山大学教务部制</w:t>
      </w:r>
    </w:p>
    <w:p w14:paraId="2C3EEC71">
      <w:pPr>
        <w:spacing w:line="900" w:lineRule="exact"/>
        <w:jc w:val="center"/>
        <w:rPr>
          <w:rFonts w:ascii="仿宋_GB2312"/>
          <w:b/>
          <w:bCs/>
          <w:kern w:val="28"/>
        </w:rPr>
      </w:pPr>
    </w:p>
    <w:p w14:paraId="05018066">
      <w:pPr>
        <w:widowControl/>
        <w:jc w:val="left"/>
        <w:rPr>
          <w:rFonts w:ascii="仿宋_GB2312"/>
          <w:b/>
          <w:bCs/>
          <w:kern w:val="28"/>
        </w:rPr>
      </w:pPr>
      <w:r>
        <w:rPr>
          <w:rFonts w:ascii="仿宋_GB2312"/>
          <w:b/>
          <w:bCs/>
          <w:kern w:val="28"/>
        </w:rPr>
        <w:br w:type="page"/>
      </w:r>
    </w:p>
    <w:p w14:paraId="3636D1FA">
      <w:pPr>
        <w:pStyle w:val="8"/>
        <w:spacing w:line="480" w:lineRule="exact"/>
        <w:rPr>
          <w:rFonts w:ascii="Times New Roman" w:hAnsi="Times New Roman" w:eastAsia="黑体" w:cs="Times New Roman"/>
        </w:rPr>
      </w:pPr>
      <w:r>
        <w:rPr>
          <w:rFonts w:hint="eastAsia" w:ascii="宋体" w:hAnsi="宋体" w:cs="宋体"/>
          <w:bCs w:val="0"/>
        </w:rPr>
        <w:t>专利战略：数据驱动的科技竞争</w:t>
      </w:r>
      <w:r>
        <w:rPr>
          <w:rFonts w:ascii="Times New Roman" w:hAnsi="Times New Roman" w:eastAsia="黑体" w:cs="Times New Roman"/>
        </w:rPr>
        <w:t>教学大纲</w:t>
      </w:r>
    </w:p>
    <w:p w14:paraId="70223291">
      <w:pPr>
        <w:pStyle w:val="3"/>
        <w:spacing w:line="480" w:lineRule="exact"/>
        <w:ind w:firstLine="0" w:firstLineChars="0"/>
        <w:jc w:val="center"/>
        <w:rPr>
          <w:rFonts w:eastAsia="宋体"/>
          <w:sz w:val="24"/>
        </w:rPr>
      </w:pPr>
      <w:r>
        <w:rPr>
          <w:rFonts w:eastAsia="宋体"/>
          <w:sz w:val="24"/>
        </w:rPr>
        <w:t>（编写日期：2025年06月）</w:t>
      </w:r>
    </w:p>
    <w:p w14:paraId="4EBFFC17">
      <w:pPr>
        <w:pStyle w:val="3"/>
        <w:spacing w:line="480" w:lineRule="exact"/>
        <w:ind w:firstLine="0" w:firstLineChars="0"/>
        <w:rPr>
          <w:rFonts w:ascii="宋体" w:hAnsi="宋体" w:eastAsia="宋体"/>
          <w:b/>
          <w:sz w:val="24"/>
          <w:szCs w:val="24"/>
        </w:rPr>
      </w:pPr>
    </w:p>
    <w:p w14:paraId="25A77843">
      <w:pPr>
        <w:pStyle w:val="3"/>
        <w:spacing w:line="480" w:lineRule="exact"/>
        <w:ind w:firstLine="0" w:firstLineChars="0"/>
        <w:rPr>
          <w:rFonts w:eastAsia="宋体"/>
          <w:b/>
          <w:sz w:val="21"/>
          <w:szCs w:val="21"/>
        </w:rPr>
      </w:pPr>
      <w:r>
        <w:rPr>
          <w:rFonts w:ascii="宋体" w:hAnsi="宋体" w:eastAsia="宋体"/>
          <w:b/>
          <w:sz w:val="24"/>
          <w:szCs w:val="24"/>
        </w:rPr>
        <w:t>一、课程基本说明</w:t>
      </w:r>
    </w:p>
    <w:tbl>
      <w:tblPr>
        <w:tblStyle w:val="11"/>
        <w:tblW w:w="11057" w:type="dxa"/>
        <w:tblInd w:w="-1423" w:type="dxa"/>
        <w:tblLayout w:type="fixed"/>
        <w:tblCellMar>
          <w:top w:w="0" w:type="dxa"/>
          <w:left w:w="108" w:type="dxa"/>
          <w:bottom w:w="0" w:type="dxa"/>
          <w:right w:w="108" w:type="dxa"/>
        </w:tblCellMar>
      </w:tblPr>
      <w:tblGrid>
        <w:gridCol w:w="1418"/>
        <w:gridCol w:w="1560"/>
        <w:gridCol w:w="2693"/>
        <w:gridCol w:w="1701"/>
        <w:gridCol w:w="1276"/>
        <w:gridCol w:w="2409"/>
      </w:tblGrid>
      <w:tr w14:paraId="44558679">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0D76B9BA">
            <w:pPr>
              <w:pStyle w:val="16"/>
            </w:pPr>
            <w:r>
              <w:t>课程名称</w:t>
            </w:r>
          </w:p>
        </w:tc>
        <w:tc>
          <w:tcPr>
            <w:tcW w:w="4253" w:type="dxa"/>
            <w:gridSpan w:val="2"/>
            <w:tcBorders>
              <w:top w:val="single" w:color="auto" w:sz="4" w:space="0"/>
              <w:left w:val="nil"/>
              <w:bottom w:val="single" w:color="auto" w:sz="4" w:space="0"/>
              <w:right w:val="single" w:color="auto" w:sz="4" w:space="0"/>
            </w:tcBorders>
            <w:vAlign w:val="center"/>
          </w:tcPr>
          <w:p w14:paraId="3F365CD9">
            <w:pPr>
              <w:pStyle w:val="16"/>
              <w:rPr>
                <w:rFonts w:hint="eastAsia"/>
              </w:rPr>
            </w:pPr>
            <w:r>
              <w:rPr>
                <w:rFonts w:hint="eastAsia"/>
              </w:rPr>
              <w:t>专利战略：数据驱动的科技竞争</w:t>
            </w:r>
          </w:p>
        </w:tc>
        <w:tc>
          <w:tcPr>
            <w:tcW w:w="1701" w:type="dxa"/>
            <w:tcBorders>
              <w:top w:val="single" w:color="auto" w:sz="4" w:space="0"/>
              <w:left w:val="nil"/>
              <w:bottom w:val="single" w:color="auto" w:sz="4" w:space="0"/>
              <w:right w:val="single" w:color="auto" w:sz="4" w:space="0"/>
            </w:tcBorders>
            <w:vAlign w:val="center"/>
          </w:tcPr>
          <w:p w14:paraId="2394D889">
            <w:pPr>
              <w:pStyle w:val="16"/>
              <w:rPr>
                <w:rFonts w:hint="eastAsia"/>
              </w:rPr>
            </w:pPr>
            <w:r>
              <w:t>课程英文名称</w:t>
            </w:r>
          </w:p>
        </w:tc>
        <w:tc>
          <w:tcPr>
            <w:tcW w:w="3685" w:type="dxa"/>
            <w:gridSpan w:val="2"/>
            <w:tcBorders>
              <w:top w:val="single" w:color="auto" w:sz="4" w:space="0"/>
              <w:left w:val="nil"/>
              <w:bottom w:val="single" w:color="auto" w:sz="4" w:space="0"/>
              <w:right w:val="single" w:color="auto" w:sz="4" w:space="0"/>
            </w:tcBorders>
            <w:vAlign w:val="center"/>
          </w:tcPr>
          <w:p w14:paraId="627F2FB1">
            <w:pPr>
              <w:pStyle w:val="16"/>
            </w:pPr>
            <w:r>
              <w:rPr>
                <w:rFonts w:hint="eastAsia"/>
              </w:rPr>
              <w:t>Patent Strategy: Data-driven Technological Competition</w:t>
            </w:r>
          </w:p>
        </w:tc>
      </w:tr>
      <w:tr w14:paraId="56276F84">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0430B12F">
            <w:pPr>
              <w:pStyle w:val="16"/>
            </w:pPr>
            <w:r>
              <w:t>课程类别</w:t>
            </w:r>
          </w:p>
        </w:tc>
        <w:tc>
          <w:tcPr>
            <w:tcW w:w="1560" w:type="dxa"/>
            <w:tcBorders>
              <w:top w:val="single" w:color="auto" w:sz="4" w:space="0"/>
              <w:left w:val="nil"/>
              <w:bottom w:val="single" w:color="auto" w:sz="4" w:space="0"/>
              <w:right w:val="single" w:color="auto" w:sz="4" w:space="0"/>
            </w:tcBorders>
            <w:vAlign w:val="center"/>
          </w:tcPr>
          <w:p w14:paraId="5B0A0EC5">
            <w:pPr>
              <w:pStyle w:val="16"/>
              <w:rPr>
                <w:rFonts w:hint="eastAsia"/>
              </w:rPr>
            </w:pPr>
            <w:r>
              <w:rPr>
                <w:rFonts w:hint="eastAsia"/>
              </w:rPr>
              <w:t>公选</w:t>
            </w:r>
          </w:p>
        </w:tc>
        <w:tc>
          <w:tcPr>
            <w:tcW w:w="2693" w:type="dxa"/>
            <w:tcBorders>
              <w:top w:val="single" w:color="auto" w:sz="4" w:space="0"/>
              <w:left w:val="nil"/>
              <w:bottom w:val="single" w:color="auto" w:sz="4" w:space="0"/>
              <w:right w:val="single" w:color="auto" w:sz="4" w:space="0"/>
            </w:tcBorders>
            <w:vAlign w:val="center"/>
          </w:tcPr>
          <w:p w14:paraId="2BE58C56">
            <w:pPr>
              <w:pStyle w:val="16"/>
              <w:rPr>
                <w:rFonts w:hint="eastAsia"/>
              </w:rPr>
            </w:pPr>
            <w:r>
              <w:rPr>
                <w:rFonts w:hint="eastAsia"/>
              </w:rPr>
              <w:t>课程编码</w:t>
            </w:r>
          </w:p>
        </w:tc>
        <w:tc>
          <w:tcPr>
            <w:tcW w:w="1701" w:type="dxa"/>
            <w:tcBorders>
              <w:top w:val="single" w:color="auto" w:sz="4" w:space="0"/>
              <w:left w:val="nil"/>
              <w:bottom w:val="single" w:color="auto" w:sz="4" w:space="0"/>
              <w:right w:val="single" w:color="auto" w:sz="4" w:space="0"/>
            </w:tcBorders>
            <w:vAlign w:val="center"/>
          </w:tcPr>
          <w:p w14:paraId="204580E2">
            <w:pPr>
              <w:pStyle w:val="16"/>
              <w:rPr>
                <w:rFonts w:hint="eastAsia"/>
              </w:rPr>
            </w:pPr>
            <w:r>
              <w:rPr>
                <w:rFonts w:hint="eastAsia"/>
              </w:rPr>
              <w:t>IM145</w:t>
            </w:r>
          </w:p>
        </w:tc>
        <w:tc>
          <w:tcPr>
            <w:tcW w:w="1276" w:type="dxa"/>
            <w:tcBorders>
              <w:top w:val="single" w:color="auto" w:sz="4" w:space="0"/>
              <w:left w:val="nil"/>
              <w:bottom w:val="single" w:color="auto" w:sz="4" w:space="0"/>
              <w:right w:val="single" w:color="auto" w:sz="4" w:space="0"/>
            </w:tcBorders>
            <w:vAlign w:val="center"/>
          </w:tcPr>
          <w:p w14:paraId="256E1613">
            <w:pPr>
              <w:pStyle w:val="16"/>
            </w:pPr>
            <w:r>
              <w:t>课程细类</w:t>
            </w:r>
          </w:p>
        </w:tc>
        <w:tc>
          <w:tcPr>
            <w:tcW w:w="2409" w:type="dxa"/>
            <w:tcBorders>
              <w:top w:val="single" w:color="auto" w:sz="4" w:space="0"/>
              <w:left w:val="nil"/>
              <w:bottom w:val="single" w:color="auto" w:sz="4" w:space="0"/>
              <w:right w:val="single" w:color="auto" w:sz="4" w:space="0"/>
            </w:tcBorders>
            <w:vAlign w:val="center"/>
          </w:tcPr>
          <w:p w14:paraId="0B51A4AE">
            <w:pPr>
              <w:pStyle w:val="16"/>
            </w:pPr>
            <w:r>
              <w:rPr>
                <w:rFonts w:hint="eastAsia"/>
              </w:rPr>
              <w:t>科技与未来</w:t>
            </w:r>
          </w:p>
        </w:tc>
      </w:tr>
      <w:tr w14:paraId="7FBB6B98">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3FC83AEA">
            <w:pPr>
              <w:pStyle w:val="16"/>
              <w:rPr>
                <w:rFonts w:hint="eastAsia"/>
              </w:rPr>
            </w:pPr>
            <w:r>
              <w:rPr>
                <w:rFonts w:hint="eastAsia"/>
              </w:rPr>
              <w:t>艺术教育板块</w:t>
            </w:r>
          </w:p>
        </w:tc>
        <w:tc>
          <w:tcPr>
            <w:tcW w:w="1560" w:type="dxa"/>
            <w:tcBorders>
              <w:top w:val="single" w:color="auto" w:sz="4" w:space="0"/>
              <w:left w:val="nil"/>
              <w:bottom w:val="single" w:color="auto" w:sz="4" w:space="0"/>
              <w:right w:val="single" w:color="auto" w:sz="4" w:space="0"/>
            </w:tcBorders>
            <w:vAlign w:val="center"/>
          </w:tcPr>
          <w:p w14:paraId="7F89004A">
            <w:pPr>
              <w:pStyle w:val="16"/>
              <w:rPr>
                <w:rFonts w:hint="eastAsia"/>
              </w:rPr>
            </w:pPr>
          </w:p>
        </w:tc>
        <w:tc>
          <w:tcPr>
            <w:tcW w:w="2693" w:type="dxa"/>
            <w:tcBorders>
              <w:top w:val="single" w:color="auto" w:sz="4" w:space="0"/>
              <w:left w:val="nil"/>
              <w:bottom w:val="single" w:color="auto" w:sz="4" w:space="0"/>
              <w:right w:val="single" w:color="auto" w:sz="4" w:space="0"/>
            </w:tcBorders>
            <w:vAlign w:val="center"/>
          </w:tcPr>
          <w:p w14:paraId="45DD1C8E">
            <w:pPr>
              <w:pStyle w:val="16"/>
              <w:rPr>
                <w:rFonts w:hint="eastAsia"/>
              </w:rPr>
            </w:pPr>
            <w:r>
              <w:rPr>
                <w:rFonts w:hint="eastAsia"/>
              </w:rPr>
              <w:t>课程教学类型</w:t>
            </w:r>
          </w:p>
        </w:tc>
        <w:tc>
          <w:tcPr>
            <w:tcW w:w="1701" w:type="dxa"/>
            <w:tcBorders>
              <w:top w:val="single" w:color="auto" w:sz="4" w:space="0"/>
              <w:left w:val="nil"/>
              <w:bottom w:val="single" w:color="auto" w:sz="4" w:space="0"/>
              <w:right w:val="single" w:color="auto" w:sz="4" w:space="0"/>
            </w:tcBorders>
            <w:vAlign w:val="center"/>
          </w:tcPr>
          <w:p w14:paraId="4E9D4F39">
            <w:pPr>
              <w:pStyle w:val="16"/>
              <w:rPr>
                <w:rFonts w:hint="eastAsia"/>
              </w:rPr>
            </w:pPr>
            <w:r>
              <w:rPr>
                <w:rFonts w:hint="eastAsia"/>
              </w:rPr>
              <w:t>理论</w:t>
            </w:r>
          </w:p>
        </w:tc>
        <w:tc>
          <w:tcPr>
            <w:tcW w:w="1276" w:type="dxa"/>
            <w:tcBorders>
              <w:top w:val="single" w:color="auto" w:sz="4" w:space="0"/>
              <w:left w:val="nil"/>
              <w:bottom w:val="single" w:color="auto" w:sz="4" w:space="0"/>
              <w:right w:val="single" w:color="auto" w:sz="4" w:space="0"/>
            </w:tcBorders>
            <w:vAlign w:val="center"/>
          </w:tcPr>
          <w:p w14:paraId="03F51D2B">
            <w:pPr>
              <w:pStyle w:val="16"/>
              <w:rPr>
                <w:rFonts w:hint="eastAsia"/>
              </w:rPr>
            </w:pPr>
            <w:r>
              <w:rPr>
                <w:rFonts w:hint="eastAsia"/>
              </w:rPr>
              <w:t>学分</w:t>
            </w:r>
          </w:p>
        </w:tc>
        <w:tc>
          <w:tcPr>
            <w:tcW w:w="2409" w:type="dxa"/>
            <w:tcBorders>
              <w:top w:val="single" w:color="auto" w:sz="4" w:space="0"/>
              <w:left w:val="nil"/>
              <w:bottom w:val="single" w:color="auto" w:sz="4" w:space="0"/>
              <w:right w:val="single" w:color="auto" w:sz="4" w:space="0"/>
            </w:tcBorders>
            <w:vAlign w:val="center"/>
          </w:tcPr>
          <w:p w14:paraId="6D6CBDD4">
            <w:pPr>
              <w:pStyle w:val="16"/>
              <w:rPr>
                <w:rFonts w:hint="eastAsia"/>
              </w:rPr>
            </w:pPr>
            <w:r>
              <w:rPr>
                <w:rFonts w:hint="eastAsia"/>
              </w:rPr>
              <w:t>2</w:t>
            </w:r>
          </w:p>
        </w:tc>
      </w:tr>
      <w:tr w14:paraId="5A319278">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418BF4A9">
            <w:pPr>
              <w:pStyle w:val="16"/>
              <w:rPr>
                <w:rFonts w:hint="eastAsia"/>
              </w:rPr>
            </w:pPr>
            <w:r>
              <w:rPr>
                <w:rFonts w:hint="eastAsia"/>
              </w:rPr>
              <w:t>总学时</w:t>
            </w:r>
          </w:p>
        </w:tc>
        <w:tc>
          <w:tcPr>
            <w:tcW w:w="1560" w:type="dxa"/>
            <w:tcBorders>
              <w:top w:val="single" w:color="auto" w:sz="4" w:space="0"/>
              <w:left w:val="nil"/>
              <w:bottom w:val="single" w:color="auto" w:sz="4" w:space="0"/>
              <w:right w:val="single" w:color="auto" w:sz="4" w:space="0"/>
            </w:tcBorders>
            <w:vAlign w:val="center"/>
          </w:tcPr>
          <w:p w14:paraId="3135C399">
            <w:pPr>
              <w:pStyle w:val="16"/>
              <w:rPr>
                <w:rFonts w:hint="eastAsia"/>
              </w:rPr>
            </w:pPr>
            <w:r>
              <w:rPr>
                <w:rFonts w:hint="eastAsia"/>
              </w:rPr>
              <w:t>36</w:t>
            </w:r>
          </w:p>
        </w:tc>
        <w:tc>
          <w:tcPr>
            <w:tcW w:w="2693" w:type="dxa"/>
            <w:tcBorders>
              <w:top w:val="single" w:color="auto" w:sz="4" w:space="0"/>
              <w:left w:val="nil"/>
              <w:bottom w:val="single" w:color="auto" w:sz="4" w:space="0"/>
              <w:right w:val="single" w:color="auto" w:sz="4" w:space="0"/>
            </w:tcBorders>
            <w:vAlign w:val="center"/>
          </w:tcPr>
          <w:p w14:paraId="769D9401">
            <w:pPr>
              <w:pStyle w:val="16"/>
              <w:rPr>
                <w:rFonts w:hint="eastAsia"/>
              </w:rPr>
            </w:pPr>
            <w:r>
              <w:rPr>
                <w:rFonts w:hint="eastAsia"/>
              </w:rPr>
              <w:t>理论学时</w:t>
            </w:r>
          </w:p>
        </w:tc>
        <w:tc>
          <w:tcPr>
            <w:tcW w:w="1701" w:type="dxa"/>
            <w:tcBorders>
              <w:top w:val="single" w:color="auto" w:sz="4" w:space="0"/>
              <w:left w:val="nil"/>
              <w:bottom w:val="single" w:color="auto" w:sz="4" w:space="0"/>
              <w:right w:val="single" w:color="auto" w:sz="4" w:space="0"/>
            </w:tcBorders>
            <w:vAlign w:val="center"/>
          </w:tcPr>
          <w:p w14:paraId="1643D8E3">
            <w:pPr>
              <w:pStyle w:val="16"/>
              <w:rPr>
                <w:rFonts w:hint="eastAsia"/>
              </w:rPr>
            </w:pPr>
            <w:r>
              <w:rPr>
                <w:rFonts w:hint="eastAsia"/>
              </w:rPr>
              <w:t>36</w:t>
            </w:r>
          </w:p>
        </w:tc>
        <w:tc>
          <w:tcPr>
            <w:tcW w:w="1276" w:type="dxa"/>
            <w:tcBorders>
              <w:top w:val="single" w:color="auto" w:sz="4" w:space="0"/>
              <w:left w:val="nil"/>
              <w:bottom w:val="single" w:color="auto" w:sz="4" w:space="0"/>
              <w:right w:val="single" w:color="auto" w:sz="4" w:space="0"/>
            </w:tcBorders>
            <w:vAlign w:val="center"/>
          </w:tcPr>
          <w:p w14:paraId="43E42CF2">
            <w:pPr>
              <w:pStyle w:val="16"/>
              <w:rPr>
                <w:rFonts w:hint="eastAsia"/>
              </w:rPr>
            </w:pPr>
            <w:r>
              <w:rPr>
                <w:rFonts w:hint="eastAsia"/>
              </w:rPr>
              <w:t>实践（含实验）学时</w:t>
            </w:r>
          </w:p>
        </w:tc>
        <w:tc>
          <w:tcPr>
            <w:tcW w:w="2409" w:type="dxa"/>
            <w:tcBorders>
              <w:top w:val="single" w:color="auto" w:sz="4" w:space="0"/>
              <w:left w:val="nil"/>
              <w:bottom w:val="single" w:color="auto" w:sz="4" w:space="0"/>
              <w:right w:val="single" w:color="auto" w:sz="4" w:space="0"/>
            </w:tcBorders>
            <w:vAlign w:val="center"/>
          </w:tcPr>
          <w:p w14:paraId="239D0766">
            <w:pPr>
              <w:pStyle w:val="16"/>
              <w:rPr>
                <w:rFonts w:hint="eastAsia"/>
              </w:rPr>
            </w:pPr>
          </w:p>
        </w:tc>
      </w:tr>
      <w:tr w14:paraId="618825D3">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7E770919">
            <w:pPr>
              <w:pStyle w:val="16"/>
              <w:rPr>
                <w:rFonts w:hint="eastAsia"/>
              </w:rPr>
            </w:pPr>
            <w:r>
              <w:rPr>
                <w:rFonts w:hint="eastAsia"/>
              </w:rPr>
              <w:t>总学时备注</w:t>
            </w:r>
          </w:p>
        </w:tc>
        <w:tc>
          <w:tcPr>
            <w:tcW w:w="1560" w:type="dxa"/>
            <w:tcBorders>
              <w:top w:val="single" w:color="auto" w:sz="4" w:space="0"/>
              <w:left w:val="nil"/>
              <w:bottom w:val="single" w:color="auto" w:sz="4" w:space="0"/>
              <w:right w:val="single" w:color="auto" w:sz="4" w:space="0"/>
            </w:tcBorders>
            <w:vAlign w:val="center"/>
          </w:tcPr>
          <w:p w14:paraId="37A502C9">
            <w:pPr>
              <w:pStyle w:val="16"/>
              <w:rPr>
                <w:rFonts w:hint="eastAsia"/>
              </w:rPr>
            </w:pPr>
            <w:r>
              <w:rPr>
                <w:rFonts w:hint="eastAsia"/>
              </w:rPr>
              <w:t>36</w:t>
            </w:r>
          </w:p>
        </w:tc>
        <w:tc>
          <w:tcPr>
            <w:tcW w:w="2693" w:type="dxa"/>
            <w:tcBorders>
              <w:top w:val="single" w:color="auto" w:sz="4" w:space="0"/>
              <w:left w:val="nil"/>
              <w:bottom w:val="single" w:color="auto" w:sz="4" w:space="0"/>
              <w:right w:val="single" w:color="auto" w:sz="4" w:space="0"/>
            </w:tcBorders>
            <w:vAlign w:val="center"/>
          </w:tcPr>
          <w:p w14:paraId="5068B8DA">
            <w:pPr>
              <w:pStyle w:val="16"/>
              <w:rPr>
                <w:rFonts w:hint="eastAsia"/>
              </w:rPr>
            </w:pPr>
            <w:r>
              <w:rPr>
                <w:rFonts w:hint="eastAsia"/>
              </w:rPr>
              <w:t>周学时</w:t>
            </w:r>
          </w:p>
        </w:tc>
        <w:tc>
          <w:tcPr>
            <w:tcW w:w="1701" w:type="dxa"/>
            <w:tcBorders>
              <w:top w:val="single" w:color="auto" w:sz="4" w:space="0"/>
              <w:left w:val="nil"/>
              <w:bottom w:val="single" w:color="auto" w:sz="4" w:space="0"/>
              <w:right w:val="single" w:color="auto" w:sz="4" w:space="0"/>
            </w:tcBorders>
            <w:vAlign w:val="center"/>
          </w:tcPr>
          <w:p w14:paraId="5C88693F">
            <w:pPr>
              <w:pStyle w:val="16"/>
              <w:rPr>
                <w:rFonts w:hint="eastAsia"/>
              </w:rPr>
            </w:pPr>
            <w:r>
              <w:rPr>
                <w:rFonts w:hint="eastAsia"/>
              </w:rPr>
              <w:t>3</w:t>
            </w:r>
          </w:p>
        </w:tc>
        <w:tc>
          <w:tcPr>
            <w:tcW w:w="1276" w:type="dxa"/>
            <w:tcBorders>
              <w:top w:val="single" w:color="auto" w:sz="4" w:space="0"/>
              <w:left w:val="nil"/>
              <w:bottom w:val="single" w:color="auto" w:sz="4" w:space="0"/>
              <w:right w:val="single" w:color="auto" w:sz="4" w:space="0"/>
            </w:tcBorders>
            <w:vAlign w:val="center"/>
          </w:tcPr>
          <w:p w14:paraId="783A7EDC">
            <w:pPr>
              <w:pStyle w:val="16"/>
              <w:rPr>
                <w:rFonts w:hint="eastAsia"/>
              </w:rPr>
            </w:pPr>
            <w:r>
              <w:rPr>
                <w:rFonts w:hint="eastAsia"/>
              </w:rPr>
              <w:t>授课语种</w:t>
            </w:r>
          </w:p>
        </w:tc>
        <w:tc>
          <w:tcPr>
            <w:tcW w:w="2409" w:type="dxa"/>
            <w:tcBorders>
              <w:top w:val="single" w:color="auto" w:sz="4" w:space="0"/>
              <w:left w:val="nil"/>
              <w:bottom w:val="single" w:color="auto" w:sz="4" w:space="0"/>
              <w:right w:val="single" w:color="auto" w:sz="4" w:space="0"/>
            </w:tcBorders>
            <w:vAlign w:val="center"/>
          </w:tcPr>
          <w:p w14:paraId="7721AA1E">
            <w:pPr>
              <w:pStyle w:val="16"/>
              <w:rPr>
                <w:rFonts w:hint="eastAsia"/>
              </w:rPr>
            </w:pPr>
            <w:r>
              <w:rPr>
                <w:rFonts w:hint="eastAsia"/>
              </w:rPr>
              <w:t>中文</w:t>
            </w:r>
          </w:p>
        </w:tc>
      </w:tr>
      <w:tr w14:paraId="3B65221A">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6ADC2FAD">
            <w:pPr>
              <w:pStyle w:val="16"/>
              <w:rPr>
                <w:rFonts w:hint="eastAsia"/>
              </w:rPr>
            </w:pPr>
            <w:r>
              <w:rPr>
                <w:rFonts w:hint="eastAsia"/>
              </w:rPr>
              <w:t>开课单位</w:t>
            </w:r>
          </w:p>
        </w:tc>
        <w:tc>
          <w:tcPr>
            <w:tcW w:w="1560" w:type="dxa"/>
            <w:tcBorders>
              <w:top w:val="single" w:color="auto" w:sz="4" w:space="0"/>
              <w:left w:val="nil"/>
              <w:bottom w:val="single" w:color="auto" w:sz="4" w:space="0"/>
              <w:right w:val="single" w:color="auto" w:sz="4" w:space="0"/>
            </w:tcBorders>
            <w:vAlign w:val="center"/>
          </w:tcPr>
          <w:p w14:paraId="1C1DEB5F">
            <w:pPr>
              <w:pStyle w:val="16"/>
              <w:rPr>
                <w:rFonts w:hint="eastAsia"/>
              </w:rPr>
            </w:pPr>
            <w:r>
              <w:rPr>
                <w:rFonts w:hint="eastAsia"/>
              </w:rPr>
              <w:t>信息管理学院</w:t>
            </w:r>
          </w:p>
        </w:tc>
        <w:tc>
          <w:tcPr>
            <w:tcW w:w="2693" w:type="dxa"/>
            <w:tcBorders>
              <w:top w:val="single" w:color="auto" w:sz="4" w:space="0"/>
              <w:left w:val="nil"/>
              <w:bottom w:val="single" w:color="auto" w:sz="4" w:space="0"/>
              <w:right w:val="single" w:color="auto" w:sz="4" w:space="0"/>
            </w:tcBorders>
            <w:vAlign w:val="center"/>
          </w:tcPr>
          <w:p w14:paraId="42DB682A">
            <w:pPr>
              <w:pStyle w:val="16"/>
              <w:rPr>
                <w:rFonts w:hint="eastAsia"/>
              </w:rPr>
            </w:pPr>
            <w:r>
              <w:rPr>
                <w:rFonts w:hint="eastAsia"/>
              </w:rPr>
              <w:t>接收人数</w:t>
            </w:r>
          </w:p>
        </w:tc>
        <w:tc>
          <w:tcPr>
            <w:tcW w:w="1701" w:type="dxa"/>
            <w:tcBorders>
              <w:top w:val="single" w:color="auto" w:sz="4" w:space="0"/>
              <w:left w:val="nil"/>
              <w:bottom w:val="single" w:color="auto" w:sz="4" w:space="0"/>
              <w:right w:val="single" w:color="auto" w:sz="4" w:space="0"/>
            </w:tcBorders>
            <w:vAlign w:val="center"/>
          </w:tcPr>
          <w:p w14:paraId="7637E620">
            <w:pPr>
              <w:pStyle w:val="16"/>
              <w:rPr>
                <w:rFonts w:hint="eastAsia"/>
              </w:rPr>
            </w:pPr>
            <w:r>
              <w:rPr>
                <w:rFonts w:hint="eastAsia"/>
              </w:rPr>
              <w:t>60</w:t>
            </w:r>
          </w:p>
        </w:tc>
        <w:tc>
          <w:tcPr>
            <w:tcW w:w="1276" w:type="dxa"/>
            <w:tcBorders>
              <w:top w:val="single" w:color="auto" w:sz="4" w:space="0"/>
              <w:left w:val="nil"/>
              <w:bottom w:val="single" w:color="auto" w:sz="4" w:space="0"/>
              <w:right w:val="single" w:color="auto" w:sz="4" w:space="0"/>
            </w:tcBorders>
            <w:vAlign w:val="center"/>
          </w:tcPr>
          <w:p w14:paraId="598455C8">
            <w:pPr>
              <w:pStyle w:val="16"/>
              <w:rPr>
                <w:rFonts w:hint="eastAsia"/>
              </w:rPr>
            </w:pPr>
            <w:r>
              <w:rPr>
                <w:rFonts w:hint="eastAsia"/>
              </w:rPr>
              <w:t>是否有意向开设跨校园同步课程</w:t>
            </w:r>
          </w:p>
        </w:tc>
        <w:tc>
          <w:tcPr>
            <w:tcW w:w="2409" w:type="dxa"/>
            <w:tcBorders>
              <w:top w:val="single" w:color="auto" w:sz="4" w:space="0"/>
              <w:left w:val="nil"/>
              <w:bottom w:val="single" w:color="auto" w:sz="4" w:space="0"/>
              <w:right w:val="single" w:color="auto" w:sz="4" w:space="0"/>
            </w:tcBorders>
            <w:vAlign w:val="center"/>
          </w:tcPr>
          <w:p w14:paraId="44DBB2BF">
            <w:pPr>
              <w:pStyle w:val="16"/>
              <w:rPr>
                <w:rFonts w:hint="eastAsia"/>
              </w:rPr>
            </w:pPr>
          </w:p>
        </w:tc>
      </w:tr>
      <w:tr w14:paraId="2D1AA488">
        <w:tblPrEx>
          <w:tblCellMar>
            <w:top w:w="0" w:type="dxa"/>
            <w:left w:w="108" w:type="dxa"/>
            <w:bottom w:w="0" w:type="dxa"/>
            <w:right w:w="108" w:type="dxa"/>
          </w:tblCellMar>
        </w:tblPrEx>
        <w:trPr>
          <w:trHeight w:val="793" w:hRule="atLeast"/>
        </w:trPr>
        <w:tc>
          <w:tcPr>
            <w:tcW w:w="1418" w:type="dxa"/>
            <w:tcBorders>
              <w:top w:val="single" w:color="auto" w:sz="4" w:space="0"/>
              <w:left w:val="single" w:color="auto" w:sz="4" w:space="0"/>
              <w:bottom w:val="single" w:color="auto" w:sz="4" w:space="0"/>
              <w:right w:val="single" w:color="auto" w:sz="4" w:space="0"/>
            </w:tcBorders>
            <w:vAlign w:val="center"/>
          </w:tcPr>
          <w:p w14:paraId="0E6D3984">
            <w:pPr>
              <w:pStyle w:val="16"/>
              <w:rPr>
                <w:rFonts w:hint="eastAsia"/>
              </w:rPr>
            </w:pPr>
            <w:r>
              <w:rPr>
                <w:rFonts w:hint="eastAsia"/>
              </w:rPr>
              <w:t>主讲教师</w:t>
            </w:r>
          </w:p>
        </w:tc>
        <w:tc>
          <w:tcPr>
            <w:tcW w:w="1560" w:type="dxa"/>
            <w:tcBorders>
              <w:top w:val="single" w:color="auto" w:sz="4" w:space="0"/>
              <w:left w:val="nil"/>
              <w:bottom w:val="single" w:color="auto" w:sz="4" w:space="0"/>
              <w:right w:val="single" w:color="auto" w:sz="4" w:space="0"/>
            </w:tcBorders>
            <w:vAlign w:val="center"/>
          </w:tcPr>
          <w:p w14:paraId="0F44262B">
            <w:pPr>
              <w:pStyle w:val="16"/>
              <w:rPr>
                <w:rFonts w:hint="eastAsia"/>
              </w:rPr>
            </w:pPr>
            <w:r>
              <w:rPr>
                <w:rFonts w:hint="eastAsia"/>
              </w:rPr>
              <w:t>宋昊阳</w:t>
            </w:r>
          </w:p>
        </w:tc>
        <w:tc>
          <w:tcPr>
            <w:tcW w:w="2693" w:type="dxa"/>
            <w:tcBorders>
              <w:top w:val="single" w:color="auto" w:sz="4" w:space="0"/>
              <w:left w:val="nil"/>
              <w:bottom w:val="single" w:color="auto" w:sz="4" w:space="0"/>
              <w:right w:val="single" w:color="auto" w:sz="4" w:space="0"/>
            </w:tcBorders>
            <w:vAlign w:val="center"/>
          </w:tcPr>
          <w:p w14:paraId="4478EF5A">
            <w:pPr>
              <w:pStyle w:val="16"/>
              <w:rPr>
                <w:rFonts w:hint="eastAsia"/>
              </w:rPr>
            </w:pPr>
            <w:r>
              <w:rPr>
                <w:rFonts w:hint="eastAsia"/>
              </w:rPr>
              <w:t>意向开课学期</w:t>
            </w:r>
          </w:p>
        </w:tc>
        <w:tc>
          <w:tcPr>
            <w:tcW w:w="1701" w:type="dxa"/>
            <w:tcBorders>
              <w:top w:val="single" w:color="auto" w:sz="4" w:space="0"/>
              <w:left w:val="nil"/>
              <w:bottom w:val="single" w:color="auto" w:sz="4" w:space="0"/>
              <w:right w:val="single" w:color="auto" w:sz="4" w:space="0"/>
            </w:tcBorders>
            <w:vAlign w:val="center"/>
          </w:tcPr>
          <w:p w14:paraId="6E831E38">
            <w:pPr>
              <w:pStyle w:val="16"/>
              <w:rPr>
                <w:rFonts w:hint="eastAsia"/>
              </w:rPr>
            </w:pPr>
            <w:r>
              <w:rPr>
                <w:rFonts w:hint="eastAsia"/>
              </w:rPr>
              <w:t>春季学期</w:t>
            </w:r>
          </w:p>
        </w:tc>
        <w:tc>
          <w:tcPr>
            <w:tcW w:w="1276" w:type="dxa"/>
            <w:tcBorders>
              <w:top w:val="single" w:color="auto" w:sz="4" w:space="0"/>
              <w:left w:val="nil"/>
              <w:bottom w:val="single" w:color="auto" w:sz="4" w:space="0"/>
              <w:right w:val="single" w:color="auto" w:sz="4" w:space="0"/>
            </w:tcBorders>
            <w:vAlign w:val="center"/>
          </w:tcPr>
          <w:p w14:paraId="372B31F8">
            <w:pPr>
              <w:pStyle w:val="16"/>
              <w:rPr>
                <w:rFonts w:hint="eastAsia"/>
              </w:rPr>
            </w:pPr>
            <w:r>
              <w:t>意向线下上课校区</w:t>
            </w:r>
          </w:p>
        </w:tc>
        <w:tc>
          <w:tcPr>
            <w:tcW w:w="2409" w:type="dxa"/>
            <w:tcBorders>
              <w:top w:val="single" w:color="auto" w:sz="4" w:space="0"/>
              <w:left w:val="nil"/>
              <w:bottom w:val="single" w:color="auto" w:sz="4" w:space="0"/>
              <w:right w:val="single" w:color="auto" w:sz="4" w:space="0"/>
            </w:tcBorders>
            <w:vAlign w:val="center"/>
          </w:tcPr>
          <w:p w14:paraId="0F28D907">
            <w:pPr>
              <w:pStyle w:val="16"/>
              <w:rPr>
                <w:rFonts w:hint="eastAsia"/>
              </w:rPr>
            </w:pPr>
          </w:p>
        </w:tc>
      </w:tr>
    </w:tbl>
    <w:p w14:paraId="6EFCF71D">
      <w:pPr>
        <w:rPr>
          <w:rFonts w:ascii="宋体" w:hAnsi="宋体" w:eastAsia="宋体"/>
          <w:b/>
          <w:bCs/>
          <w:sz w:val="24"/>
          <w:szCs w:val="24"/>
        </w:rPr>
      </w:pPr>
    </w:p>
    <w:p w14:paraId="3D5F2831">
      <w:pPr>
        <w:rPr>
          <w:rFonts w:ascii="宋体" w:hAnsi="宋体" w:eastAsia="宋体"/>
          <w:sz w:val="24"/>
          <w:szCs w:val="24"/>
        </w:rPr>
      </w:pPr>
      <w:r>
        <w:rPr>
          <w:rFonts w:hint="eastAsia" w:ascii="宋体" w:hAnsi="宋体" w:eastAsia="宋体"/>
          <w:b/>
          <w:bCs/>
          <w:sz w:val="24"/>
          <w:szCs w:val="24"/>
        </w:rPr>
        <w:t>二、课程目标</w:t>
      </w:r>
    </w:p>
    <w:p w14:paraId="2FC1025A">
      <w:pPr>
        <w:rPr>
          <w:rFonts w:ascii="仿宋" w:hAnsi="仿宋" w:eastAsia="仿宋" w:cs="仿宋"/>
          <w:sz w:val="24"/>
          <w:szCs w:val="24"/>
        </w:rPr>
      </w:pPr>
      <w:r>
        <w:rPr>
          <w:rFonts w:hint="eastAsia" w:ascii="仿宋" w:hAnsi="仿宋" w:eastAsia="仿宋" w:cs="仿宋"/>
          <w:bCs/>
          <w:sz w:val="24"/>
          <w:szCs w:val="24"/>
        </w:rPr>
        <w:t>提示：请从知识、技能、价值观三个层面阐述课程目标。</w:t>
      </w:r>
    </w:p>
    <w:p w14:paraId="0CDB1D38">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r>
        <w:rPr>
          <w:rFonts w:hint="eastAsia" w:cs="仿宋" w:asciiTheme="minorEastAsia" w:hAnsiTheme="minorEastAsia" w:eastAsiaTheme="minorEastAsia"/>
          <w:sz w:val="24"/>
          <w:szCs w:val="24"/>
        </w:rPr>
        <w:t>知识经济时代高速发展的科技引发了以专利为代表的知识产权竞争，围绕专利与专利权的竞赛已然从个体活动上升到国家战略。本课程融合科学计量领域的分析、统计与可视化理论与方法，重点讲授如何从专利数据中挖掘潜在的科技信息与情报，并制定有效的专利攻防战略与策略。通过具体的企业、区域、产业等层面的数据分析实操，以“做中学”培养学生的竞争情报理论素养与探索式创新思维，提高学生的主观能动性；引导学生掌握基本的专利情报分析方法；强化学生对数字化时代国内外科技竞争环境的理解与认识，树立自立自强、勇于开拓创新的竞争理念。</w:t>
      </w:r>
    </w:p>
    <w:p w14:paraId="072A067E">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r>
        <w:rPr>
          <w:rFonts w:hint="eastAsia" w:cs="仿宋" w:asciiTheme="minorEastAsia" w:hAnsiTheme="minorEastAsia" w:eastAsiaTheme="minorEastAsia"/>
          <w:sz w:val="24"/>
          <w:szCs w:val="24"/>
        </w:rPr>
        <w:t>知识领域目标：掌握专利计量与科学计量的理论知识、分析工具与可视化方法，进而深化学生对专利及其文献、信息的理解，拓展学生的理论视角。</w:t>
      </w:r>
    </w:p>
    <w:p w14:paraId="007B4F2F">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r>
        <w:rPr>
          <w:rFonts w:hint="eastAsia" w:cs="仿宋" w:asciiTheme="minorEastAsia" w:hAnsiTheme="minorEastAsia" w:eastAsiaTheme="minorEastAsia"/>
          <w:sz w:val="24"/>
          <w:szCs w:val="24"/>
        </w:rPr>
        <w:t>能力领域目标：培养学生挖掘专利数据潜在情报价值的能力，能够运用竞争情报的理论与方法，解析企业乃至国家的科技竞争环境、构建专利竞争战略与策略；</w:t>
      </w:r>
    </w:p>
    <w:p w14:paraId="2B0B0269">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r>
        <w:rPr>
          <w:rFonts w:hint="eastAsia" w:cs="仿宋" w:asciiTheme="minorEastAsia" w:hAnsiTheme="minorEastAsia" w:eastAsiaTheme="minorEastAsia"/>
          <w:sz w:val="24"/>
          <w:szCs w:val="24"/>
        </w:rPr>
        <w:t>情感领域目标：通过对专利数据的探索，培养学生的数据驱动意识与数据挖掘兴趣，提升学生的数据素养。</w:t>
      </w:r>
    </w:p>
    <w:p w14:paraId="7A9BAEDC">
      <w:pPr>
        <w:pBdr>
          <w:top w:val="single" w:color="auto" w:sz="4" w:space="1"/>
          <w:left w:val="single" w:color="auto" w:sz="4" w:space="4"/>
          <w:bottom w:val="single" w:color="auto" w:sz="4" w:space="1"/>
          <w:right w:val="single" w:color="auto" w:sz="4" w:space="4"/>
        </w:pBdr>
        <w:spacing w:line="560" w:lineRule="exact"/>
        <w:rPr>
          <w:rFonts w:cs="仿宋" w:asciiTheme="minorEastAsia" w:hAnsiTheme="minorEastAsia" w:eastAsiaTheme="minorEastAsia"/>
          <w:sz w:val="24"/>
          <w:szCs w:val="24"/>
        </w:rPr>
      </w:pPr>
    </w:p>
    <w:p w14:paraId="007DA1F7">
      <w:pPr>
        <w:widowControl/>
        <w:jc w:val="left"/>
        <w:rPr>
          <w:rFonts w:ascii="宋体" w:hAnsi="宋体" w:eastAsia="宋体"/>
          <w:sz w:val="24"/>
          <w:szCs w:val="24"/>
        </w:rPr>
      </w:pPr>
      <w:r>
        <w:rPr>
          <w:rFonts w:hint="eastAsia" w:ascii="宋体" w:hAnsi="宋体" w:eastAsia="宋体"/>
          <w:b/>
          <w:bCs/>
          <w:sz w:val="24"/>
          <w:szCs w:val="24"/>
        </w:rPr>
        <w:t>三、课程基本内容</w:t>
      </w:r>
    </w:p>
    <w:p w14:paraId="545362AB">
      <w:pPr>
        <w:rPr>
          <w:rFonts w:ascii="宋体" w:hAnsi="宋体" w:eastAsia="宋体"/>
          <w:bCs/>
          <w:sz w:val="24"/>
          <w:szCs w:val="24"/>
        </w:rPr>
      </w:pPr>
      <w:r>
        <w:rPr>
          <w:rFonts w:hint="eastAsia" w:ascii="宋体" w:hAnsi="宋体" w:eastAsia="宋体"/>
          <w:bCs/>
          <w:sz w:val="24"/>
          <w:szCs w:val="24"/>
        </w:rPr>
        <w:t>（一）教学内容简介</w:t>
      </w:r>
    </w:p>
    <w:p w14:paraId="664192D7">
      <w:pPr>
        <w:rPr>
          <w:rFonts w:ascii="仿宋" w:hAnsi="仿宋" w:eastAsia="仿宋"/>
          <w:bCs/>
          <w:sz w:val="24"/>
          <w:szCs w:val="24"/>
        </w:rPr>
      </w:pPr>
      <w:r>
        <w:rPr>
          <w:rFonts w:hint="eastAsia" w:ascii="仿宋" w:hAnsi="仿宋" w:eastAsia="仿宋"/>
          <w:bCs/>
          <w:sz w:val="24"/>
          <w:szCs w:val="24"/>
        </w:rPr>
        <w:t>课程内容应</w:t>
      </w:r>
      <w:r>
        <w:rPr>
          <w:rFonts w:hint="eastAsia" w:ascii="仿宋" w:hAnsi="仿宋" w:eastAsia="仿宋"/>
          <w:b/>
          <w:bCs/>
          <w:sz w:val="24"/>
          <w:szCs w:val="24"/>
        </w:rPr>
        <w:t>支撑课程目标达成</w:t>
      </w:r>
    </w:p>
    <w:p w14:paraId="6876C982">
      <w:pPr>
        <w:pBdr>
          <w:top w:val="single" w:color="auto" w:sz="4" w:space="1"/>
          <w:left w:val="single" w:color="auto" w:sz="4" w:space="4"/>
          <w:bottom w:val="single" w:color="auto" w:sz="4" w:space="1"/>
          <w:right w:val="single" w:color="auto" w:sz="4" w:space="4"/>
        </w:pBdr>
        <w:spacing w:line="480" w:lineRule="exact"/>
        <w:ind w:firstLine="480" w:firstLineChars="200"/>
        <w:rPr>
          <w:rFonts w:ascii="宋体" w:hAnsi="宋体" w:eastAsia="宋体"/>
          <w:bCs/>
          <w:sz w:val="24"/>
          <w:szCs w:val="24"/>
        </w:rPr>
      </w:pPr>
      <w:r>
        <w:rPr>
          <w:rFonts w:ascii="宋体" w:hAnsi="宋体" w:eastAsia="宋体"/>
          <w:bCs/>
          <w:sz w:val="24"/>
          <w:szCs w:val="24"/>
        </w:rPr>
        <w:t>本课程面向数字化时代国内外日趋激烈的科技竞争态势，融合科学计量领域的分析、统计与可视化理论与方法，重点讲授如何从专利数据中挖掘潜在的科技信息与情报，并以ICT、新能源等产业为对象开展实例教学，主要内容包括：（1）专利与专利计量的基本专业知识、理论的讲解；（2）以ICT、新能源等产业为例，讲授并训练专利数据检索、清洗、处理、分析与可视化的方法与工具；（3）从战略层面，探讨企业、产业、区域与国家的专利布局、攻防模式、应对策略等。</w:t>
      </w:r>
    </w:p>
    <w:p w14:paraId="097E7C3D">
      <w:pPr>
        <w:rPr>
          <w:rFonts w:ascii="宋体" w:hAnsi="宋体" w:eastAsia="宋体"/>
          <w:bCs/>
          <w:sz w:val="24"/>
          <w:szCs w:val="24"/>
        </w:rPr>
      </w:pPr>
      <w:r>
        <w:rPr>
          <w:rFonts w:hint="eastAsia" w:ascii="宋体" w:hAnsi="宋体" w:eastAsia="宋体"/>
          <w:bCs/>
          <w:sz w:val="24"/>
          <w:szCs w:val="24"/>
        </w:rPr>
        <w:t>（二）教学内容安排</w:t>
      </w:r>
    </w:p>
    <w:p w14:paraId="37048B20">
      <w:pPr>
        <w:widowControl/>
        <w:jc w:val="left"/>
        <w:rPr>
          <w:rFonts w:ascii="仿宋" w:hAnsi="仿宋" w:eastAsia="仿宋"/>
          <w:bCs/>
          <w:sz w:val="24"/>
          <w:szCs w:val="24"/>
        </w:rPr>
      </w:pPr>
    </w:p>
    <w:tbl>
      <w:tblPr>
        <w:tblStyle w:val="11"/>
        <w:tblW w:w="787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269"/>
        <w:gridCol w:w="1252"/>
        <w:gridCol w:w="785"/>
        <w:gridCol w:w="1252"/>
        <w:gridCol w:w="1254"/>
        <w:gridCol w:w="810"/>
        <w:gridCol w:w="1254"/>
      </w:tblGrid>
      <w:tr w14:paraId="2C33274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555" w:hRule="atLeast"/>
          <w:jc w:val="center"/>
        </w:trPr>
        <w:tc>
          <w:tcPr>
            <w:tcW w:w="4958" w:type="dxa"/>
            <w:vAlign w:val="center"/>
          </w:tcPr>
          <w:p w14:paraId="702AAD35">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章节次序及名称(细化至节,必填)</w:t>
            </w:r>
          </w:p>
        </w:tc>
        <w:tc>
          <w:tcPr>
            <w:tcW w:w="4958" w:type="dxa"/>
            <w:vAlign w:val="center"/>
          </w:tcPr>
          <w:p w14:paraId="586F77C3">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主要教学内容(必填)</w:t>
            </w:r>
          </w:p>
        </w:tc>
        <w:tc>
          <w:tcPr>
            <w:tcW w:w="1363" w:type="dxa"/>
            <w:vAlign w:val="center"/>
          </w:tcPr>
          <w:p w14:paraId="36A8780C">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所需学时（必填）</w:t>
            </w:r>
          </w:p>
        </w:tc>
        <w:tc>
          <w:tcPr>
            <w:tcW w:w="4958" w:type="dxa"/>
            <w:vAlign w:val="center"/>
          </w:tcPr>
          <w:p w14:paraId="6F382A8B">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育人元素</w:t>
            </w:r>
          </w:p>
        </w:tc>
        <w:tc>
          <w:tcPr>
            <w:tcW w:w="4958" w:type="dxa"/>
            <w:vAlign w:val="center"/>
          </w:tcPr>
          <w:p w14:paraId="460D90FF">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重点、难点</w:t>
            </w:r>
          </w:p>
        </w:tc>
        <w:tc>
          <w:tcPr>
            <w:tcW w:w="1555" w:type="dxa"/>
            <w:vAlign w:val="center"/>
          </w:tcPr>
          <w:p w14:paraId="10D823ED">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周次（选填）</w:t>
            </w:r>
          </w:p>
        </w:tc>
        <w:tc>
          <w:tcPr>
            <w:tcW w:w="4958" w:type="dxa"/>
            <w:vAlign w:val="center"/>
          </w:tcPr>
          <w:p w14:paraId="5FA3F202">
            <w:pPr>
              <w:spacing w:line="400" w:lineRule="exact"/>
              <w:jc w:val="center"/>
              <w:rPr>
                <w:rFonts w:asciiTheme="majorEastAsia" w:hAnsiTheme="majorEastAsia" w:eastAsiaTheme="majorEastAsia"/>
                <w:b/>
                <w:bCs/>
                <w:sz w:val="24"/>
                <w:szCs w:val="20"/>
              </w:rPr>
            </w:pPr>
            <w:r>
              <w:rPr>
                <w:rFonts w:hint="eastAsia" w:asciiTheme="majorEastAsia" w:hAnsiTheme="majorEastAsia" w:eastAsiaTheme="majorEastAsia"/>
                <w:b/>
                <w:bCs/>
                <w:sz w:val="24"/>
                <w:szCs w:val="20"/>
              </w:rPr>
              <w:t>备注（选填）</w:t>
            </w:r>
          </w:p>
        </w:tc>
      </w:tr>
      <w:tr w14:paraId="2C14DA4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07DD861E">
            <w:pPr>
              <w:rPr>
                <w:rFonts w:ascii="宋体" w:hAnsi="宋体" w:eastAsia="宋体"/>
                <w:sz w:val="24"/>
                <w:szCs w:val="24"/>
              </w:rPr>
            </w:pPr>
            <w:r>
              <w:rPr>
                <w:rFonts w:hint="eastAsia" w:ascii="宋体" w:hAnsi="宋体" w:eastAsia="宋体"/>
                <w:sz w:val="24"/>
                <w:szCs w:val="24"/>
              </w:rPr>
              <w:t>第一章 大国间的科技竞争</w:t>
            </w:r>
          </w:p>
          <w:p w14:paraId="40EE24DB">
            <w:pPr>
              <w:rPr>
                <w:rFonts w:ascii="宋体" w:hAnsi="宋体" w:eastAsia="宋体"/>
                <w:sz w:val="24"/>
                <w:szCs w:val="24"/>
              </w:rPr>
            </w:pPr>
            <w:r>
              <w:rPr>
                <w:rFonts w:hint="eastAsia" w:ascii="宋体" w:hAnsi="宋体" w:eastAsia="宋体"/>
                <w:sz w:val="24"/>
                <w:szCs w:val="24"/>
              </w:rPr>
              <w:t>1.1 国际的科技竞争态势</w:t>
            </w:r>
          </w:p>
          <w:p w14:paraId="47E106C6">
            <w:pPr>
              <w:rPr>
                <w:rFonts w:ascii="宋体" w:hAnsi="宋体" w:eastAsia="宋体"/>
                <w:sz w:val="24"/>
                <w:szCs w:val="24"/>
              </w:rPr>
            </w:pPr>
            <w:r>
              <w:rPr>
                <w:rFonts w:hint="eastAsia" w:ascii="宋体" w:hAnsi="宋体" w:eastAsia="宋体"/>
                <w:sz w:val="24"/>
                <w:szCs w:val="24"/>
              </w:rPr>
              <w:t>1.2 我国的科技发展战略定位</w:t>
            </w:r>
          </w:p>
          <w:p w14:paraId="622594D2">
            <w:pPr>
              <w:rPr>
                <w:rFonts w:ascii="宋体" w:hAnsi="宋体" w:eastAsia="宋体"/>
                <w:sz w:val="24"/>
                <w:szCs w:val="24"/>
              </w:rPr>
            </w:pPr>
            <w:r>
              <w:rPr>
                <w:rFonts w:hint="eastAsia" w:ascii="宋体" w:hAnsi="宋体" w:eastAsia="宋体"/>
                <w:sz w:val="24"/>
                <w:szCs w:val="24"/>
              </w:rPr>
              <w:t>1.3 我国的科技发展现状</w:t>
            </w:r>
          </w:p>
        </w:tc>
        <w:tc>
          <w:tcPr>
            <w:tcW w:w="4958" w:type="dxa"/>
            <w:vAlign w:val="center"/>
          </w:tcPr>
          <w:p w14:paraId="0AFDFA67">
            <w:pPr>
              <w:rPr>
                <w:rFonts w:ascii="宋体" w:hAnsi="宋体" w:eastAsia="宋体"/>
                <w:sz w:val="24"/>
                <w:szCs w:val="24"/>
              </w:rPr>
            </w:pPr>
            <w:r>
              <w:rPr>
                <w:rFonts w:hint="eastAsia" w:ascii="宋体" w:hAnsi="宋体" w:eastAsia="宋体"/>
                <w:sz w:val="24"/>
                <w:szCs w:val="24"/>
              </w:rPr>
              <w:t>介绍国际大国间的科技竞争态势，并重点了解我国的科技发展战略内容与发展现状。</w:t>
            </w:r>
          </w:p>
        </w:tc>
        <w:tc>
          <w:tcPr>
            <w:tcW w:w="1363" w:type="dxa"/>
            <w:vAlign w:val="center"/>
          </w:tcPr>
          <w:p w14:paraId="1771AA1B">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1FB81102">
            <w:pPr>
              <w:rPr>
                <w:rFonts w:ascii="宋体" w:hAnsi="宋体" w:eastAsia="宋体"/>
                <w:sz w:val="24"/>
                <w:szCs w:val="24"/>
              </w:rPr>
            </w:pPr>
            <w:r>
              <w:rPr>
                <w:rFonts w:hint="eastAsia" w:ascii="宋体" w:hAnsi="宋体" w:eastAsia="宋体"/>
                <w:sz w:val="24"/>
                <w:szCs w:val="24"/>
              </w:rPr>
              <w:t>以近年来国际科技发展与竞争大事件为切入点，引导学生思考科技强国的核心思想，体会全球科技竞争的态势。</w:t>
            </w:r>
          </w:p>
        </w:tc>
        <w:tc>
          <w:tcPr>
            <w:tcW w:w="4958" w:type="dxa"/>
            <w:vAlign w:val="center"/>
          </w:tcPr>
          <w:p w14:paraId="4A71A477">
            <w:pPr>
              <w:rPr>
                <w:rFonts w:ascii="宋体" w:hAnsi="宋体" w:eastAsia="宋体"/>
                <w:sz w:val="24"/>
                <w:szCs w:val="24"/>
              </w:rPr>
            </w:pPr>
            <w:r>
              <w:rPr>
                <w:rFonts w:hint="eastAsia" w:ascii="宋体" w:hAnsi="宋体" w:eastAsia="宋体"/>
                <w:sz w:val="24"/>
                <w:szCs w:val="24"/>
              </w:rPr>
              <w:t>理解国家间科技竞争的重要性，我国当前的发展地位。</w:t>
            </w:r>
          </w:p>
        </w:tc>
        <w:tc>
          <w:tcPr>
            <w:tcW w:w="1555" w:type="dxa"/>
            <w:vAlign w:val="center"/>
          </w:tcPr>
          <w:p w14:paraId="6EAFA1CE">
            <w:pPr>
              <w:jc w:val="center"/>
              <w:rPr>
                <w:rFonts w:ascii="宋体" w:hAnsi="宋体" w:eastAsia="宋体"/>
                <w:sz w:val="24"/>
                <w:szCs w:val="24"/>
              </w:rPr>
            </w:pPr>
            <w:r>
              <w:rPr>
                <w:rFonts w:hint="eastAsia" w:ascii="宋体" w:hAnsi="宋体" w:eastAsia="宋体"/>
                <w:sz w:val="24"/>
                <w:szCs w:val="24"/>
              </w:rPr>
              <w:t>第1 周</w:t>
            </w:r>
          </w:p>
        </w:tc>
        <w:tc>
          <w:tcPr>
            <w:tcW w:w="4958" w:type="dxa"/>
            <w:vAlign w:val="center"/>
          </w:tcPr>
          <w:p w14:paraId="6D78AB61">
            <w:pPr>
              <w:rPr>
                <w:rFonts w:ascii="宋体" w:hAnsi="宋体" w:eastAsia="宋体"/>
                <w:sz w:val="24"/>
                <w:szCs w:val="24"/>
              </w:rPr>
            </w:pPr>
          </w:p>
        </w:tc>
      </w:tr>
      <w:tr w14:paraId="0677047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9F19F4B">
            <w:pPr>
              <w:rPr>
                <w:rFonts w:ascii="宋体" w:hAnsi="宋体" w:eastAsia="宋体"/>
                <w:sz w:val="24"/>
                <w:szCs w:val="24"/>
              </w:rPr>
            </w:pPr>
            <w:r>
              <w:rPr>
                <w:rFonts w:hint="eastAsia" w:ascii="宋体" w:hAnsi="宋体" w:eastAsia="宋体"/>
                <w:sz w:val="24"/>
                <w:szCs w:val="24"/>
              </w:rPr>
              <w:t>第二章 专利是如何形成的？</w:t>
            </w:r>
          </w:p>
          <w:p w14:paraId="22E22370">
            <w:pPr>
              <w:rPr>
                <w:rFonts w:ascii="宋体" w:hAnsi="宋体" w:eastAsia="宋体"/>
                <w:sz w:val="24"/>
                <w:szCs w:val="24"/>
              </w:rPr>
            </w:pPr>
            <w:r>
              <w:rPr>
                <w:rFonts w:hint="eastAsia" w:ascii="宋体" w:hAnsi="宋体" w:eastAsia="宋体"/>
                <w:sz w:val="24"/>
                <w:szCs w:val="24"/>
              </w:rPr>
              <w:t>2.1 专利制度的设立与演化</w:t>
            </w:r>
          </w:p>
          <w:p w14:paraId="04087BE5">
            <w:pPr>
              <w:rPr>
                <w:rFonts w:ascii="宋体" w:hAnsi="宋体" w:eastAsia="宋体"/>
                <w:sz w:val="24"/>
                <w:szCs w:val="24"/>
              </w:rPr>
            </w:pPr>
            <w:r>
              <w:rPr>
                <w:rFonts w:hint="eastAsia" w:ascii="宋体" w:hAnsi="宋体" w:eastAsia="宋体"/>
                <w:sz w:val="24"/>
                <w:szCs w:val="24"/>
              </w:rPr>
              <w:t>2.2 美欧日韩的专利制度对比</w:t>
            </w:r>
          </w:p>
          <w:p w14:paraId="152E8F6F">
            <w:pPr>
              <w:rPr>
                <w:rFonts w:ascii="宋体" w:hAnsi="宋体" w:eastAsia="宋体"/>
                <w:sz w:val="24"/>
                <w:szCs w:val="24"/>
              </w:rPr>
            </w:pPr>
            <w:r>
              <w:rPr>
                <w:rFonts w:hint="eastAsia" w:ascii="宋体" w:hAnsi="宋体" w:eastAsia="宋体"/>
                <w:sz w:val="24"/>
                <w:szCs w:val="24"/>
              </w:rPr>
              <w:t>2.3 我国专利制度的建设与发展</w:t>
            </w:r>
          </w:p>
        </w:tc>
        <w:tc>
          <w:tcPr>
            <w:tcW w:w="4958" w:type="dxa"/>
            <w:vAlign w:val="center"/>
          </w:tcPr>
          <w:p w14:paraId="2AFF796F">
            <w:pPr>
              <w:rPr>
                <w:rFonts w:ascii="宋体" w:hAnsi="宋体" w:eastAsia="宋体"/>
                <w:sz w:val="24"/>
                <w:szCs w:val="24"/>
              </w:rPr>
            </w:pPr>
            <w:r>
              <w:rPr>
                <w:rFonts w:hint="eastAsia" w:ascii="宋体" w:hAnsi="宋体" w:eastAsia="宋体"/>
                <w:sz w:val="24"/>
                <w:szCs w:val="24"/>
              </w:rPr>
              <w:t>介绍专利制度形成的内外驱动力，并对比当今主要国家间专利制度的异同，了解我国专利制度的建设现状。</w:t>
            </w:r>
          </w:p>
        </w:tc>
        <w:tc>
          <w:tcPr>
            <w:tcW w:w="1363" w:type="dxa"/>
            <w:vAlign w:val="center"/>
          </w:tcPr>
          <w:p w14:paraId="5B289FED">
            <w:pPr>
              <w:jc w:val="center"/>
              <w:rPr>
                <w:rFonts w:ascii="宋体" w:hAnsi="宋体" w:eastAsia="宋体"/>
                <w:sz w:val="24"/>
                <w:szCs w:val="24"/>
              </w:rPr>
            </w:pPr>
            <w:r>
              <w:rPr>
                <w:rFonts w:hint="eastAsia" w:ascii="宋体" w:hAnsi="宋体" w:eastAsia="宋体"/>
                <w:sz w:val="24"/>
                <w:szCs w:val="24"/>
              </w:rPr>
              <w:t>6</w:t>
            </w:r>
          </w:p>
        </w:tc>
        <w:tc>
          <w:tcPr>
            <w:tcW w:w="4958" w:type="dxa"/>
            <w:vAlign w:val="center"/>
          </w:tcPr>
          <w:p w14:paraId="45AB3B00">
            <w:pPr>
              <w:rPr>
                <w:rFonts w:ascii="宋体" w:hAnsi="宋体" w:eastAsia="宋体"/>
                <w:sz w:val="24"/>
                <w:szCs w:val="24"/>
              </w:rPr>
            </w:pPr>
            <w:r>
              <w:rPr>
                <w:rFonts w:hint="eastAsia" w:ascii="宋体" w:hAnsi="宋体" w:eastAsia="宋体"/>
                <w:sz w:val="24"/>
                <w:szCs w:val="24"/>
              </w:rPr>
              <w:t>通过对专利权的解读，明晰西方知识产权制度的本质，思考立足我国内外环境的知识产权保护与管理制度的特色与发展方向。</w:t>
            </w:r>
          </w:p>
        </w:tc>
        <w:tc>
          <w:tcPr>
            <w:tcW w:w="4958" w:type="dxa"/>
            <w:vAlign w:val="center"/>
          </w:tcPr>
          <w:p w14:paraId="64F7043F">
            <w:pPr>
              <w:rPr>
                <w:rFonts w:ascii="宋体" w:hAnsi="宋体" w:eastAsia="宋体"/>
                <w:sz w:val="24"/>
                <w:szCs w:val="24"/>
              </w:rPr>
            </w:pPr>
            <w:r>
              <w:rPr>
                <w:rFonts w:hint="eastAsia" w:ascii="宋体" w:hAnsi="宋体" w:eastAsia="宋体"/>
                <w:sz w:val="24"/>
                <w:szCs w:val="24"/>
              </w:rPr>
              <w:t>理解专利制度的本质，并从国家竞争的角度，形成对国际专利竞争的认知。</w:t>
            </w:r>
          </w:p>
        </w:tc>
        <w:tc>
          <w:tcPr>
            <w:tcW w:w="1555" w:type="dxa"/>
            <w:vAlign w:val="center"/>
          </w:tcPr>
          <w:p w14:paraId="337EDB8D">
            <w:pPr>
              <w:jc w:val="center"/>
              <w:rPr>
                <w:rFonts w:ascii="宋体" w:hAnsi="宋体" w:eastAsia="宋体"/>
                <w:sz w:val="24"/>
                <w:szCs w:val="24"/>
              </w:rPr>
            </w:pPr>
            <w:r>
              <w:rPr>
                <w:rFonts w:hint="eastAsia" w:ascii="宋体" w:hAnsi="宋体" w:eastAsia="宋体"/>
                <w:sz w:val="24"/>
                <w:szCs w:val="24"/>
              </w:rPr>
              <w:t>第2,3 周</w:t>
            </w:r>
          </w:p>
        </w:tc>
        <w:tc>
          <w:tcPr>
            <w:tcW w:w="4958" w:type="dxa"/>
            <w:vAlign w:val="center"/>
          </w:tcPr>
          <w:p w14:paraId="232A6753">
            <w:pPr>
              <w:rPr>
                <w:rFonts w:ascii="宋体" w:hAnsi="宋体" w:eastAsia="宋体"/>
                <w:sz w:val="24"/>
                <w:szCs w:val="24"/>
              </w:rPr>
            </w:pPr>
          </w:p>
        </w:tc>
      </w:tr>
      <w:tr w14:paraId="64AE26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5B00FE90">
            <w:pPr>
              <w:rPr>
                <w:rFonts w:ascii="宋体" w:hAnsi="宋体" w:eastAsia="宋体"/>
                <w:sz w:val="24"/>
                <w:szCs w:val="24"/>
              </w:rPr>
            </w:pPr>
            <w:r>
              <w:rPr>
                <w:rFonts w:hint="eastAsia" w:ascii="宋体" w:hAnsi="宋体" w:eastAsia="宋体"/>
                <w:sz w:val="24"/>
                <w:szCs w:val="24"/>
              </w:rPr>
              <w:t>第三章 什么是专利？</w:t>
            </w:r>
          </w:p>
          <w:p w14:paraId="11CD31F6">
            <w:pPr>
              <w:rPr>
                <w:rFonts w:ascii="宋体" w:hAnsi="宋体" w:eastAsia="宋体"/>
                <w:sz w:val="24"/>
                <w:szCs w:val="24"/>
              </w:rPr>
            </w:pPr>
            <w:r>
              <w:rPr>
                <w:rFonts w:hint="eastAsia" w:ascii="宋体" w:hAnsi="宋体" w:eastAsia="宋体"/>
                <w:sz w:val="24"/>
                <w:szCs w:val="24"/>
              </w:rPr>
              <w:t>3.1 专利的内涵与特征</w:t>
            </w:r>
          </w:p>
          <w:p w14:paraId="467F28C2">
            <w:pPr>
              <w:rPr>
                <w:rFonts w:ascii="宋体" w:hAnsi="宋体" w:eastAsia="宋体"/>
                <w:sz w:val="24"/>
                <w:szCs w:val="24"/>
              </w:rPr>
            </w:pPr>
            <w:r>
              <w:rPr>
                <w:rFonts w:hint="eastAsia" w:ascii="宋体" w:hAnsi="宋体" w:eastAsia="宋体"/>
                <w:sz w:val="24"/>
                <w:szCs w:val="24"/>
              </w:rPr>
              <w:t>3.2 专利相关概念辨析</w:t>
            </w:r>
          </w:p>
          <w:p w14:paraId="67DE8F5E">
            <w:pPr>
              <w:rPr>
                <w:rFonts w:ascii="宋体" w:hAnsi="宋体" w:eastAsia="宋体"/>
                <w:sz w:val="24"/>
                <w:szCs w:val="24"/>
              </w:rPr>
            </w:pPr>
            <w:r>
              <w:rPr>
                <w:rFonts w:hint="eastAsia" w:ascii="宋体" w:hAnsi="宋体" w:eastAsia="宋体"/>
                <w:sz w:val="24"/>
                <w:szCs w:val="24"/>
              </w:rPr>
              <w:t>3.3 专利与科技情报的关联</w:t>
            </w:r>
          </w:p>
        </w:tc>
        <w:tc>
          <w:tcPr>
            <w:tcW w:w="4958" w:type="dxa"/>
            <w:vAlign w:val="center"/>
          </w:tcPr>
          <w:p w14:paraId="3FDDCB35">
            <w:pPr>
              <w:rPr>
                <w:rFonts w:ascii="宋体" w:hAnsi="宋体" w:eastAsia="宋体"/>
                <w:sz w:val="24"/>
                <w:szCs w:val="24"/>
              </w:rPr>
            </w:pPr>
            <w:r>
              <w:rPr>
                <w:rFonts w:hint="eastAsia" w:ascii="宋体" w:hAnsi="宋体" w:eastAsia="宋体"/>
                <w:sz w:val="24"/>
                <w:szCs w:val="24"/>
              </w:rPr>
              <w:t>解读专利的内涵与特征，以及专利相关的概念、现象、行为活动。并进一步介绍专利与科技情报的内在联系。</w:t>
            </w:r>
          </w:p>
        </w:tc>
        <w:tc>
          <w:tcPr>
            <w:tcW w:w="1363" w:type="dxa"/>
            <w:vAlign w:val="center"/>
          </w:tcPr>
          <w:p w14:paraId="2409557B">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62639D42">
            <w:pPr>
              <w:rPr>
                <w:rFonts w:ascii="宋体" w:hAnsi="宋体" w:eastAsia="宋体"/>
                <w:sz w:val="24"/>
                <w:szCs w:val="24"/>
              </w:rPr>
            </w:pPr>
            <w:r>
              <w:rPr>
                <w:rFonts w:hint="eastAsia" w:ascii="宋体" w:hAnsi="宋体" w:eastAsia="宋体"/>
                <w:sz w:val="24"/>
                <w:szCs w:val="24"/>
              </w:rPr>
              <w:t>无</w:t>
            </w:r>
          </w:p>
        </w:tc>
        <w:tc>
          <w:tcPr>
            <w:tcW w:w="4958" w:type="dxa"/>
            <w:vAlign w:val="center"/>
          </w:tcPr>
          <w:p w14:paraId="3FBCC4DB">
            <w:pPr>
              <w:rPr>
                <w:rFonts w:ascii="宋体" w:hAnsi="宋体" w:eastAsia="宋体"/>
                <w:sz w:val="24"/>
                <w:szCs w:val="24"/>
              </w:rPr>
            </w:pPr>
            <w:r>
              <w:rPr>
                <w:rFonts w:hint="eastAsia" w:ascii="宋体" w:hAnsi="宋体" w:eastAsia="宋体"/>
                <w:sz w:val="24"/>
                <w:szCs w:val="24"/>
              </w:rPr>
              <w:t>理解专利的本质，以及专利数据内涵的丰富信息，建立通过专利数据开展多维度情报发掘的意识。</w:t>
            </w:r>
          </w:p>
        </w:tc>
        <w:tc>
          <w:tcPr>
            <w:tcW w:w="1555" w:type="dxa"/>
            <w:vAlign w:val="center"/>
          </w:tcPr>
          <w:p w14:paraId="1BC46399">
            <w:pPr>
              <w:jc w:val="center"/>
              <w:rPr>
                <w:rFonts w:ascii="宋体" w:hAnsi="宋体" w:eastAsia="宋体"/>
                <w:sz w:val="24"/>
                <w:szCs w:val="24"/>
              </w:rPr>
            </w:pPr>
            <w:r>
              <w:rPr>
                <w:rFonts w:hint="eastAsia" w:ascii="宋体" w:hAnsi="宋体" w:eastAsia="宋体"/>
                <w:sz w:val="24"/>
                <w:szCs w:val="24"/>
              </w:rPr>
              <w:t>第4 周</w:t>
            </w:r>
          </w:p>
        </w:tc>
        <w:tc>
          <w:tcPr>
            <w:tcW w:w="4958" w:type="dxa"/>
            <w:vAlign w:val="center"/>
          </w:tcPr>
          <w:p w14:paraId="3F5B994A">
            <w:pPr>
              <w:rPr>
                <w:rFonts w:ascii="宋体" w:hAnsi="宋体" w:eastAsia="宋体"/>
                <w:sz w:val="24"/>
                <w:szCs w:val="24"/>
              </w:rPr>
            </w:pPr>
          </w:p>
        </w:tc>
      </w:tr>
      <w:tr w14:paraId="65942E0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0AA4E9B">
            <w:pPr>
              <w:rPr>
                <w:rFonts w:ascii="宋体" w:hAnsi="宋体" w:eastAsia="宋体"/>
                <w:sz w:val="24"/>
                <w:szCs w:val="24"/>
              </w:rPr>
            </w:pPr>
            <w:r>
              <w:rPr>
                <w:rFonts w:hint="eastAsia" w:ascii="宋体" w:hAnsi="宋体" w:eastAsia="宋体"/>
                <w:sz w:val="24"/>
                <w:szCs w:val="24"/>
              </w:rPr>
              <w:t>第四章 如何获取专利？</w:t>
            </w:r>
          </w:p>
          <w:p w14:paraId="1290CD01">
            <w:pPr>
              <w:rPr>
                <w:rFonts w:ascii="宋体" w:hAnsi="宋体" w:eastAsia="宋体"/>
                <w:sz w:val="24"/>
                <w:szCs w:val="24"/>
              </w:rPr>
            </w:pPr>
            <w:r>
              <w:rPr>
                <w:rFonts w:hint="eastAsia" w:ascii="宋体" w:hAnsi="宋体" w:eastAsia="宋体"/>
                <w:sz w:val="24"/>
                <w:szCs w:val="24"/>
              </w:rPr>
              <w:t>4.1 专利的申请</w:t>
            </w:r>
          </w:p>
          <w:p w14:paraId="521EBF9A">
            <w:pPr>
              <w:rPr>
                <w:rFonts w:ascii="宋体" w:hAnsi="宋体" w:eastAsia="宋体"/>
                <w:sz w:val="24"/>
                <w:szCs w:val="24"/>
              </w:rPr>
            </w:pPr>
            <w:r>
              <w:rPr>
                <w:rFonts w:hint="eastAsia" w:ascii="宋体" w:hAnsi="宋体" w:eastAsia="宋体"/>
                <w:sz w:val="24"/>
                <w:szCs w:val="24"/>
              </w:rPr>
              <w:t>4.2 专利的审查</w:t>
            </w:r>
          </w:p>
        </w:tc>
        <w:tc>
          <w:tcPr>
            <w:tcW w:w="4958" w:type="dxa"/>
            <w:vAlign w:val="center"/>
          </w:tcPr>
          <w:p w14:paraId="38EAEC93">
            <w:pPr>
              <w:rPr>
                <w:rFonts w:ascii="宋体" w:hAnsi="宋体" w:eastAsia="宋体"/>
                <w:sz w:val="24"/>
                <w:szCs w:val="24"/>
              </w:rPr>
            </w:pPr>
            <w:r>
              <w:rPr>
                <w:rFonts w:hint="eastAsia" w:ascii="宋体" w:hAnsi="宋体" w:eastAsia="宋体"/>
                <w:sz w:val="24"/>
                <w:szCs w:val="24"/>
              </w:rPr>
              <w:t>介绍专利申请与审查的基本规范与实操，重点介绍PCT和巴黎公约的内容。</w:t>
            </w:r>
          </w:p>
        </w:tc>
        <w:tc>
          <w:tcPr>
            <w:tcW w:w="1363" w:type="dxa"/>
            <w:vAlign w:val="center"/>
          </w:tcPr>
          <w:p w14:paraId="7BC25E83">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2636DF7A">
            <w:pPr>
              <w:rPr>
                <w:rFonts w:ascii="宋体" w:hAnsi="宋体" w:eastAsia="宋体"/>
                <w:sz w:val="24"/>
                <w:szCs w:val="24"/>
              </w:rPr>
            </w:pPr>
            <w:r>
              <w:rPr>
                <w:rFonts w:hint="eastAsia" w:ascii="宋体" w:hAnsi="宋体" w:eastAsia="宋体"/>
                <w:sz w:val="24"/>
                <w:szCs w:val="24"/>
              </w:rPr>
              <w:t>熟悉我国专利申请制度规则，引导学生思考专利申请，尤其是实用新型、外观设计等申请的具体办法，鼓励学生创新，形成专利成果。</w:t>
            </w:r>
          </w:p>
        </w:tc>
        <w:tc>
          <w:tcPr>
            <w:tcW w:w="4958" w:type="dxa"/>
            <w:vAlign w:val="center"/>
          </w:tcPr>
          <w:p w14:paraId="19A9119E">
            <w:pPr>
              <w:rPr>
                <w:rFonts w:ascii="宋体" w:hAnsi="宋体" w:eastAsia="宋体"/>
                <w:sz w:val="24"/>
                <w:szCs w:val="24"/>
              </w:rPr>
            </w:pPr>
            <w:r>
              <w:rPr>
                <w:rFonts w:hint="eastAsia" w:ascii="宋体" w:hAnsi="宋体" w:eastAsia="宋体"/>
                <w:sz w:val="24"/>
                <w:szCs w:val="24"/>
              </w:rPr>
              <w:t>掌握专利申请与审查的具体程序、重点。思考专利申请与审查的关键点与策略点。</w:t>
            </w:r>
          </w:p>
        </w:tc>
        <w:tc>
          <w:tcPr>
            <w:tcW w:w="1555" w:type="dxa"/>
            <w:vAlign w:val="center"/>
          </w:tcPr>
          <w:p w14:paraId="754DDAF9">
            <w:pPr>
              <w:jc w:val="center"/>
              <w:rPr>
                <w:rFonts w:ascii="宋体" w:hAnsi="宋体" w:eastAsia="宋体"/>
                <w:sz w:val="24"/>
                <w:szCs w:val="24"/>
              </w:rPr>
            </w:pPr>
            <w:r>
              <w:rPr>
                <w:rFonts w:hint="eastAsia" w:ascii="宋体" w:hAnsi="宋体" w:eastAsia="宋体"/>
                <w:sz w:val="24"/>
                <w:szCs w:val="24"/>
              </w:rPr>
              <w:t>第5 周</w:t>
            </w:r>
          </w:p>
        </w:tc>
        <w:tc>
          <w:tcPr>
            <w:tcW w:w="4958" w:type="dxa"/>
            <w:vAlign w:val="center"/>
          </w:tcPr>
          <w:p w14:paraId="009E6295">
            <w:pPr>
              <w:rPr>
                <w:rFonts w:ascii="宋体" w:hAnsi="宋体" w:eastAsia="宋体"/>
                <w:sz w:val="24"/>
                <w:szCs w:val="24"/>
              </w:rPr>
            </w:pPr>
          </w:p>
        </w:tc>
      </w:tr>
      <w:tr w14:paraId="3961692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2AB3F3AD">
            <w:pPr>
              <w:rPr>
                <w:rFonts w:ascii="宋体" w:hAnsi="宋体" w:eastAsia="宋体"/>
                <w:sz w:val="24"/>
                <w:szCs w:val="24"/>
              </w:rPr>
            </w:pPr>
            <w:r>
              <w:rPr>
                <w:rFonts w:hint="eastAsia" w:ascii="宋体" w:hAnsi="宋体" w:eastAsia="宋体"/>
                <w:sz w:val="24"/>
                <w:szCs w:val="24"/>
              </w:rPr>
              <w:t>第五章 如何使用专利？</w:t>
            </w:r>
          </w:p>
          <w:p w14:paraId="3E1CAA74">
            <w:pPr>
              <w:rPr>
                <w:rFonts w:ascii="宋体" w:hAnsi="宋体" w:eastAsia="宋体"/>
                <w:sz w:val="24"/>
                <w:szCs w:val="24"/>
              </w:rPr>
            </w:pPr>
            <w:r>
              <w:rPr>
                <w:rFonts w:hint="eastAsia" w:ascii="宋体" w:hAnsi="宋体" w:eastAsia="宋体"/>
                <w:sz w:val="24"/>
                <w:szCs w:val="24"/>
              </w:rPr>
              <w:t>5.1 专利家族与同族专利</w:t>
            </w:r>
          </w:p>
          <w:p w14:paraId="2FFFFB15">
            <w:pPr>
              <w:rPr>
                <w:rFonts w:ascii="宋体" w:hAnsi="宋体" w:eastAsia="宋体"/>
                <w:sz w:val="24"/>
                <w:szCs w:val="24"/>
              </w:rPr>
            </w:pPr>
            <w:r>
              <w:rPr>
                <w:rFonts w:hint="eastAsia" w:ascii="宋体" w:hAnsi="宋体" w:eastAsia="宋体"/>
                <w:sz w:val="24"/>
                <w:szCs w:val="24"/>
              </w:rPr>
              <w:t>5.2 专利组合与布局</w:t>
            </w:r>
          </w:p>
          <w:p w14:paraId="1B55B6FB">
            <w:pPr>
              <w:rPr>
                <w:rFonts w:ascii="宋体" w:hAnsi="宋体" w:eastAsia="宋体"/>
                <w:sz w:val="24"/>
                <w:szCs w:val="24"/>
              </w:rPr>
            </w:pPr>
            <w:r>
              <w:rPr>
                <w:rFonts w:hint="eastAsia" w:ascii="宋体" w:hAnsi="宋体" w:eastAsia="宋体"/>
                <w:sz w:val="24"/>
                <w:szCs w:val="24"/>
              </w:rPr>
              <w:t>5.3 专利联盟与专利池</w:t>
            </w:r>
          </w:p>
          <w:p w14:paraId="26F0E4A4">
            <w:pPr>
              <w:rPr>
                <w:rFonts w:ascii="宋体" w:hAnsi="宋体" w:eastAsia="宋体"/>
                <w:sz w:val="24"/>
                <w:szCs w:val="24"/>
              </w:rPr>
            </w:pPr>
          </w:p>
        </w:tc>
        <w:tc>
          <w:tcPr>
            <w:tcW w:w="4958" w:type="dxa"/>
            <w:vAlign w:val="center"/>
          </w:tcPr>
          <w:p w14:paraId="42C597DE">
            <w:pPr>
              <w:rPr>
                <w:rFonts w:ascii="宋体" w:hAnsi="宋体" w:eastAsia="宋体"/>
                <w:sz w:val="24"/>
                <w:szCs w:val="24"/>
              </w:rPr>
            </w:pPr>
            <w:r>
              <w:rPr>
                <w:rFonts w:hint="eastAsia" w:ascii="宋体" w:hAnsi="宋体" w:eastAsia="宋体"/>
                <w:sz w:val="24"/>
                <w:szCs w:val="24"/>
              </w:rPr>
              <w:t>从家族的角度介绍专利的使用、专利组合与布局、专利联盟的组建、专利池的应用等。</w:t>
            </w:r>
          </w:p>
        </w:tc>
        <w:tc>
          <w:tcPr>
            <w:tcW w:w="1363" w:type="dxa"/>
            <w:vAlign w:val="center"/>
          </w:tcPr>
          <w:p w14:paraId="2F52FA79">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3F696101">
            <w:pPr>
              <w:rPr>
                <w:rFonts w:ascii="宋体" w:hAnsi="宋体" w:eastAsia="宋体"/>
                <w:sz w:val="24"/>
                <w:szCs w:val="24"/>
              </w:rPr>
            </w:pPr>
            <w:r>
              <w:rPr>
                <w:rFonts w:hint="eastAsia" w:ascii="宋体" w:hAnsi="宋体" w:eastAsia="宋体"/>
                <w:sz w:val="24"/>
                <w:szCs w:val="24"/>
              </w:rPr>
              <w:t>从专利布局等概念出发，理解专利制度引发的权利分配问题，体会知识产权保护的价值与意义。</w:t>
            </w:r>
          </w:p>
        </w:tc>
        <w:tc>
          <w:tcPr>
            <w:tcW w:w="4958" w:type="dxa"/>
            <w:vAlign w:val="center"/>
          </w:tcPr>
          <w:p w14:paraId="5196D727">
            <w:pPr>
              <w:rPr>
                <w:rFonts w:ascii="宋体" w:hAnsi="宋体" w:eastAsia="宋体"/>
                <w:sz w:val="24"/>
                <w:szCs w:val="24"/>
              </w:rPr>
            </w:pPr>
            <w:r>
              <w:rPr>
                <w:rFonts w:hint="eastAsia" w:ascii="宋体" w:hAnsi="宋体" w:eastAsia="宋体"/>
                <w:sz w:val="24"/>
                <w:szCs w:val="24"/>
              </w:rPr>
              <w:t>理解专利组合与专利池，并通过数据案例了解其运用与价值。</w:t>
            </w:r>
          </w:p>
        </w:tc>
        <w:tc>
          <w:tcPr>
            <w:tcW w:w="1555" w:type="dxa"/>
            <w:vAlign w:val="center"/>
          </w:tcPr>
          <w:p w14:paraId="67CB0DC8">
            <w:pPr>
              <w:jc w:val="center"/>
              <w:rPr>
                <w:rFonts w:ascii="宋体" w:hAnsi="宋体" w:eastAsia="宋体"/>
                <w:sz w:val="24"/>
                <w:szCs w:val="24"/>
              </w:rPr>
            </w:pPr>
            <w:r>
              <w:rPr>
                <w:rFonts w:hint="eastAsia" w:ascii="宋体" w:hAnsi="宋体" w:eastAsia="宋体"/>
                <w:sz w:val="24"/>
                <w:szCs w:val="24"/>
              </w:rPr>
              <w:t>第6 周</w:t>
            </w:r>
          </w:p>
        </w:tc>
        <w:tc>
          <w:tcPr>
            <w:tcW w:w="4958" w:type="dxa"/>
            <w:vAlign w:val="center"/>
          </w:tcPr>
          <w:p w14:paraId="202B0B9A">
            <w:pPr>
              <w:rPr>
                <w:rFonts w:ascii="宋体" w:hAnsi="宋体" w:eastAsia="宋体"/>
                <w:sz w:val="24"/>
                <w:szCs w:val="24"/>
              </w:rPr>
            </w:pPr>
          </w:p>
        </w:tc>
      </w:tr>
      <w:tr w14:paraId="6C7E4B3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3E3AFE5C">
            <w:pPr>
              <w:rPr>
                <w:rFonts w:ascii="宋体" w:hAnsi="宋体" w:eastAsia="宋体"/>
                <w:sz w:val="24"/>
                <w:szCs w:val="24"/>
              </w:rPr>
            </w:pPr>
            <w:r>
              <w:rPr>
                <w:rFonts w:hint="eastAsia" w:ascii="宋体" w:hAnsi="宋体" w:eastAsia="宋体"/>
                <w:sz w:val="24"/>
                <w:szCs w:val="24"/>
              </w:rPr>
              <w:t>第六章 如何挖掘专利信息？</w:t>
            </w:r>
          </w:p>
          <w:p w14:paraId="48458FD4">
            <w:pPr>
              <w:rPr>
                <w:rFonts w:ascii="宋体" w:hAnsi="宋体" w:eastAsia="宋体"/>
                <w:sz w:val="24"/>
                <w:szCs w:val="24"/>
              </w:rPr>
            </w:pPr>
            <w:r>
              <w:rPr>
                <w:rFonts w:hint="eastAsia" w:ascii="宋体" w:hAnsi="宋体" w:eastAsia="宋体"/>
                <w:sz w:val="24"/>
                <w:szCs w:val="24"/>
              </w:rPr>
              <w:t>6.1 专利数据的来源</w:t>
            </w:r>
          </w:p>
          <w:p w14:paraId="39777B53">
            <w:pPr>
              <w:rPr>
                <w:rFonts w:ascii="宋体" w:hAnsi="宋体" w:eastAsia="宋体"/>
                <w:sz w:val="24"/>
                <w:szCs w:val="24"/>
              </w:rPr>
            </w:pPr>
            <w:r>
              <w:rPr>
                <w:rFonts w:hint="eastAsia" w:ascii="宋体" w:hAnsi="宋体" w:eastAsia="宋体"/>
                <w:sz w:val="24"/>
                <w:szCs w:val="24"/>
              </w:rPr>
              <w:t>6.2 专利数据的检索</w:t>
            </w:r>
          </w:p>
          <w:p w14:paraId="65AC9CA7">
            <w:pPr>
              <w:rPr>
                <w:rFonts w:ascii="宋体" w:hAnsi="宋体" w:eastAsia="宋体"/>
                <w:sz w:val="24"/>
                <w:szCs w:val="24"/>
              </w:rPr>
            </w:pPr>
            <w:r>
              <w:rPr>
                <w:rFonts w:hint="eastAsia" w:ascii="宋体" w:hAnsi="宋体" w:eastAsia="宋体"/>
                <w:sz w:val="24"/>
                <w:szCs w:val="24"/>
              </w:rPr>
              <w:t>6.3 专利计量的方法与工具</w:t>
            </w:r>
          </w:p>
          <w:p w14:paraId="3E90EA78">
            <w:pPr>
              <w:rPr>
                <w:rFonts w:ascii="宋体" w:hAnsi="宋体" w:eastAsia="宋体"/>
                <w:sz w:val="24"/>
                <w:szCs w:val="24"/>
              </w:rPr>
            </w:pPr>
            <w:r>
              <w:rPr>
                <w:rFonts w:hint="eastAsia" w:ascii="宋体" w:hAnsi="宋体" w:eastAsia="宋体"/>
                <w:sz w:val="24"/>
                <w:szCs w:val="24"/>
              </w:rPr>
              <w:t>6.4 专利文本挖掘的方法与工具</w:t>
            </w:r>
          </w:p>
        </w:tc>
        <w:tc>
          <w:tcPr>
            <w:tcW w:w="4958" w:type="dxa"/>
            <w:vAlign w:val="center"/>
          </w:tcPr>
          <w:p w14:paraId="3E32F8B6">
            <w:pPr>
              <w:rPr>
                <w:rFonts w:ascii="宋体" w:hAnsi="宋体" w:eastAsia="宋体"/>
                <w:sz w:val="24"/>
                <w:szCs w:val="24"/>
              </w:rPr>
            </w:pPr>
            <w:r>
              <w:rPr>
                <w:rFonts w:hint="eastAsia" w:ascii="宋体" w:hAnsi="宋体" w:eastAsia="宋体"/>
                <w:sz w:val="24"/>
                <w:szCs w:val="24"/>
              </w:rPr>
              <w:t>介绍国内外主流专利数据库功能与使用方法、专利检索式的构建与实操、专利计量的工具与方法、专利文本挖掘的工具与方法。</w:t>
            </w:r>
          </w:p>
        </w:tc>
        <w:tc>
          <w:tcPr>
            <w:tcW w:w="1363" w:type="dxa"/>
            <w:vAlign w:val="center"/>
          </w:tcPr>
          <w:p w14:paraId="70FA9131">
            <w:pPr>
              <w:jc w:val="center"/>
              <w:rPr>
                <w:rFonts w:ascii="宋体" w:hAnsi="宋体" w:eastAsia="宋体"/>
                <w:sz w:val="24"/>
                <w:szCs w:val="24"/>
              </w:rPr>
            </w:pPr>
            <w:r>
              <w:rPr>
                <w:rFonts w:hint="eastAsia" w:ascii="宋体" w:hAnsi="宋体" w:eastAsia="宋体"/>
                <w:sz w:val="24"/>
                <w:szCs w:val="24"/>
              </w:rPr>
              <w:t>6</w:t>
            </w:r>
          </w:p>
        </w:tc>
        <w:tc>
          <w:tcPr>
            <w:tcW w:w="4958" w:type="dxa"/>
            <w:vAlign w:val="center"/>
          </w:tcPr>
          <w:p w14:paraId="596FA9BC">
            <w:pPr>
              <w:rPr>
                <w:rFonts w:ascii="宋体" w:hAnsi="宋体" w:eastAsia="宋体"/>
                <w:sz w:val="24"/>
                <w:szCs w:val="24"/>
              </w:rPr>
            </w:pPr>
            <w:r>
              <w:rPr>
                <w:rFonts w:hint="eastAsia" w:ascii="宋体" w:hAnsi="宋体" w:eastAsia="宋体"/>
                <w:sz w:val="24"/>
                <w:szCs w:val="24"/>
              </w:rPr>
              <w:t>在掌握专利数据检索等方法的基础上，学习数据获取的严谨性，培养学生专利信息检索与组织的基本素养。</w:t>
            </w:r>
          </w:p>
        </w:tc>
        <w:tc>
          <w:tcPr>
            <w:tcW w:w="4958" w:type="dxa"/>
            <w:vAlign w:val="center"/>
          </w:tcPr>
          <w:p w14:paraId="4780084F">
            <w:pPr>
              <w:rPr>
                <w:rFonts w:ascii="宋体" w:hAnsi="宋体" w:eastAsia="宋体"/>
                <w:sz w:val="24"/>
                <w:szCs w:val="24"/>
              </w:rPr>
            </w:pPr>
            <w:r>
              <w:rPr>
                <w:rFonts w:hint="eastAsia" w:ascii="宋体" w:hAnsi="宋体" w:eastAsia="宋体"/>
                <w:sz w:val="24"/>
                <w:szCs w:val="24"/>
              </w:rPr>
              <w:t>掌握主流专利数据库的特征与使用方法，并通过专利计量与挖掘的方法开展科技情报分析。</w:t>
            </w:r>
          </w:p>
        </w:tc>
        <w:tc>
          <w:tcPr>
            <w:tcW w:w="1555" w:type="dxa"/>
            <w:vAlign w:val="center"/>
          </w:tcPr>
          <w:p w14:paraId="6BD2268E">
            <w:pPr>
              <w:jc w:val="center"/>
              <w:rPr>
                <w:rFonts w:ascii="宋体" w:hAnsi="宋体" w:eastAsia="宋体"/>
                <w:sz w:val="24"/>
                <w:szCs w:val="24"/>
              </w:rPr>
            </w:pPr>
            <w:r>
              <w:rPr>
                <w:rFonts w:hint="eastAsia" w:ascii="宋体" w:hAnsi="宋体" w:eastAsia="宋体"/>
                <w:sz w:val="24"/>
                <w:szCs w:val="24"/>
              </w:rPr>
              <w:t>第7,8 周</w:t>
            </w:r>
          </w:p>
        </w:tc>
        <w:tc>
          <w:tcPr>
            <w:tcW w:w="4958" w:type="dxa"/>
            <w:vAlign w:val="center"/>
          </w:tcPr>
          <w:p w14:paraId="77A087EE">
            <w:pPr>
              <w:rPr>
                <w:rFonts w:ascii="宋体" w:hAnsi="宋体" w:eastAsia="宋体"/>
                <w:sz w:val="24"/>
                <w:szCs w:val="24"/>
              </w:rPr>
            </w:pPr>
          </w:p>
        </w:tc>
      </w:tr>
      <w:tr w14:paraId="47A52D5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4F40EECC">
            <w:pPr>
              <w:rPr>
                <w:rFonts w:ascii="宋体" w:hAnsi="宋体" w:eastAsia="宋体"/>
                <w:sz w:val="24"/>
                <w:szCs w:val="24"/>
              </w:rPr>
            </w:pPr>
            <w:r>
              <w:rPr>
                <w:rFonts w:hint="eastAsia" w:ascii="宋体" w:hAnsi="宋体" w:eastAsia="宋体"/>
                <w:sz w:val="24"/>
                <w:szCs w:val="24"/>
              </w:rPr>
              <w:t>第七章 如何管理专利？</w:t>
            </w:r>
          </w:p>
          <w:p w14:paraId="71D68BB9">
            <w:pPr>
              <w:rPr>
                <w:rFonts w:ascii="宋体" w:hAnsi="宋体" w:eastAsia="宋体"/>
                <w:sz w:val="24"/>
                <w:szCs w:val="24"/>
              </w:rPr>
            </w:pPr>
            <w:r>
              <w:rPr>
                <w:rFonts w:hint="eastAsia" w:ascii="宋体" w:hAnsi="宋体" w:eastAsia="宋体"/>
                <w:sz w:val="24"/>
                <w:szCs w:val="24"/>
              </w:rPr>
              <w:t>7.1 专利运营</w:t>
            </w:r>
          </w:p>
          <w:p w14:paraId="42A11514">
            <w:pPr>
              <w:rPr>
                <w:rFonts w:ascii="宋体" w:hAnsi="宋体" w:eastAsia="宋体"/>
                <w:sz w:val="24"/>
                <w:szCs w:val="24"/>
              </w:rPr>
            </w:pPr>
            <w:r>
              <w:rPr>
                <w:rFonts w:hint="eastAsia" w:ascii="宋体" w:hAnsi="宋体" w:eastAsia="宋体"/>
                <w:sz w:val="24"/>
                <w:szCs w:val="24"/>
              </w:rPr>
              <w:t>7.2 专利的保护与转化</w:t>
            </w:r>
          </w:p>
          <w:p w14:paraId="6EA2F869">
            <w:pPr>
              <w:rPr>
                <w:rFonts w:ascii="宋体" w:hAnsi="宋体" w:eastAsia="宋体"/>
                <w:sz w:val="24"/>
                <w:szCs w:val="24"/>
              </w:rPr>
            </w:pPr>
            <w:r>
              <w:rPr>
                <w:rFonts w:hint="eastAsia" w:ascii="宋体" w:hAnsi="宋体" w:eastAsia="宋体"/>
                <w:sz w:val="24"/>
                <w:szCs w:val="24"/>
              </w:rPr>
              <w:t>7.3 专利战略</w:t>
            </w:r>
          </w:p>
        </w:tc>
        <w:tc>
          <w:tcPr>
            <w:tcW w:w="4958" w:type="dxa"/>
            <w:vAlign w:val="center"/>
          </w:tcPr>
          <w:p w14:paraId="1F2DA73E">
            <w:pPr>
              <w:rPr>
                <w:rFonts w:ascii="宋体" w:hAnsi="宋体" w:eastAsia="宋体"/>
                <w:sz w:val="24"/>
                <w:szCs w:val="24"/>
              </w:rPr>
            </w:pPr>
            <w:r>
              <w:rPr>
                <w:rFonts w:hint="eastAsia" w:ascii="宋体" w:hAnsi="宋体" w:eastAsia="宋体"/>
                <w:sz w:val="24"/>
                <w:szCs w:val="24"/>
              </w:rPr>
              <w:t>从企业管理、国家发展等角度，介绍专利的运营、保护与转化、专利战略与攻防策略等问题。</w:t>
            </w:r>
          </w:p>
        </w:tc>
        <w:tc>
          <w:tcPr>
            <w:tcW w:w="1363" w:type="dxa"/>
            <w:vAlign w:val="center"/>
          </w:tcPr>
          <w:p w14:paraId="3052AEA9">
            <w:pPr>
              <w:jc w:val="center"/>
              <w:rPr>
                <w:rFonts w:ascii="宋体" w:hAnsi="宋体" w:eastAsia="宋体"/>
                <w:sz w:val="24"/>
                <w:szCs w:val="24"/>
              </w:rPr>
            </w:pPr>
            <w:r>
              <w:rPr>
                <w:rFonts w:hint="eastAsia" w:ascii="宋体" w:hAnsi="宋体" w:eastAsia="宋体"/>
                <w:sz w:val="24"/>
                <w:szCs w:val="24"/>
              </w:rPr>
              <w:t>2</w:t>
            </w:r>
          </w:p>
        </w:tc>
        <w:tc>
          <w:tcPr>
            <w:tcW w:w="4958" w:type="dxa"/>
            <w:vAlign w:val="center"/>
          </w:tcPr>
          <w:p w14:paraId="35FD6AD8">
            <w:pPr>
              <w:rPr>
                <w:rFonts w:ascii="宋体" w:hAnsi="宋体" w:eastAsia="宋体"/>
                <w:sz w:val="24"/>
                <w:szCs w:val="24"/>
              </w:rPr>
            </w:pPr>
            <w:r>
              <w:rPr>
                <w:rFonts w:hint="eastAsia" w:ascii="宋体" w:hAnsi="宋体" w:eastAsia="宋体"/>
                <w:sz w:val="24"/>
                <w:szCs w:val="24"/>
              </w:rPr>
              <w:t>无</w:t>
            </w:r>
          </w:p>
        </w:tc>
        <w:tc>
          <w:tcPr>
            <w:tcW w:w="4958" w:type="dxa"/>
            <w:vAlign w:val="center"/>
          </w:tcPr>
          <w:p w14:paraId="1A366C03">
            <w:pPr>
              <w:rPr>
                <w:rFonts w:ascii="宋体" w:hAnsi="宋体" w:eastAsia="宋体"/>
                <w:sz w:val="24"/>
                <w:szCs w:val="24"/>
              </w:rPr>
            </w:pPr>
            <w:r>
              <w:rPr>
                <w:rFonts w:hint="eastAsia" w:ascii="宋体" w:hAnsi="宋体" w:eastAsia="宋体"/>
                <w:sz w:val="24"/>
                <w:szCs w:val="24"/>
              </w:rPr>
              <w:t>在理解国家专利发展定位的基础上，从企业角度学习如何更有效的使用专利规避风险。</w:t>
            </w:r>
          </w:p>
        </w:tc>
        <w:tc>
          <w:tcPr>
            <w:tcW w:w="1555" w:type="dxa"/>
            <w:vAlign w:val="center"/>
          </w:tcPr>
          <w:p w14:paraId="13070205">
            <w:pPr>
              <w:jc w:val="center"/>
              <w:rPr>
                <w:rFonts w:ascii="宋体" w:hAnsi="宋体" w:eastAsia="宋体"/>
                <w:sz w:val="24"/>
                <w:szCs w:val="24"/>
              </w:rPr>
            </w:pPr>
            <w:r>
              <w:rPr>
                <w:rFonts w:hint="eastAsia" w:ascii="宋体" w:hAnsi="宋体" w:eastAsia="宋体"/>
                <w:sz w:val="24"/>
                <w:szCs w:val="24"/>
              </w:rPr>
              <w:t>第9 周</w:t>
            </w:r>
          </w:p>
        </w:tc>
        <w:tc>
          <w:tcPr>
            <w:tcW w:w="4958" w:type="dxa"/>
            <w:vAlign w:val="center"/>
          </w:tcPr>
          <w:p w14:paraId="0222FECC">
            <w:pPr>
              <w:rPr>
                <w:rFonts w:ascii="宋体" w:hAnsi="宋体" w:eastAsia="宋体"/>
                <w:sz w:val="24"/>
                <w:szCs w:val="24"/>
              </w:rPr>
            </w:pPr>
          </w:p>
        </w:tc>
      </w:tr>
      <w:tr w14:paraId="0F10F21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77104A6B">
            <w:pPr>
              <w:rPr>
                <w:rFonts w:ascii="宋体" w:hAnsi="宋体" w:eastAsia="宋体"/>
                <w:sz w:val="24"/>
                <w:szCs w:val="24"/>
              </w:rPr>
            </w:pPr>
            <w:r>
              <w:rPr>
                <w:rFonts w:hint="eastAsia" w:ascii="宋体" w:hAnsi="宋体" w:eastAsia="宋体"/>
                <w:sz w:val="24"/>
                <w:szCs w:val="24"/>
              </w:rPr>
              <w:t>第八章 专利导航</w:t>
            </w:r>
          </w:p>
          <w:p w14:paraId="2E0EBF2F">
            <w:pPr>
              <w:rPr>
                <w:rFonts w:ascii="宋体" w:hAnsi="宋体" w:eastAsia="宋体"/>
                <w:sz w:val="24"/>
                <w:szCs w:val="24"/>
              </w:rPr>
            </w:pPr>
            <w:r>
              <w:rPr>
                <w:rFonts w:hint="eastAsia" w:ascii="宋体" w:hAnsi="宋体" w:eastAsia="宋体"/>
                <w:sz w:val="24"/>
                <w:szCs w:val="24"/>
              </w:rPr>
              <w:t>8.1 专利导航的定义</w:t>
            </w:r>
          </w:p>
          <w:p w14:paraId="11F05845">
            <w:pPr>
              <w:rPr>
                <w:rFonts w:ascii="宋体" w:hAnsi="宋体" w:eastAsia="宋体"/>
                <w:sz w:val="24"/>
                <w:szCs w:val="24"/>
              </w:rPr>
            </w:pPr>
            <w:r>
              <w:rPr>
                <w:rFonts w:hint="eastAsia" w:ascii="宋体" w:hAnsi="宋体" w:eastAsia="宋体"/>
                <w:sz w:val="24"/>
                <w:szCs w:val="24"/>
              </w:rPr>
              <w:t>8.2 专利导航的应用</w:t>
            </w:r>
          </w:p>
          <w:p w14:paraId="5CF2355F">
            <w:pPr>
              <w:rPr>
                <w:rFonts w:ascii="宋体" w:hAnsi="宋体" w:eastAsia="宋体"/>
                <w:sz w:val="24"/>
                <w:szCs w:val="24"/>
              </w:rPr>
            </w:pPr>
            <w:r>
              <w:rPr>
                <w:rFonts w:hint="eastAsia" w:ascii="宋体" w:hAnsi="宋体" w:eastAsia="宋体"/>
                <w:sz w:val="24"/>
                <w:szCs w:val="24"/>
              </w:rPr>
              <w:t>8.3 技术机会识别</w:t>
            </w:r>
          </w:p>
          <w:p w14:paraId="71E8CDE2">
            <w:pPr>
              <w:rPr>
                <w:rFonts w:ascii="宋体" w:hAnsi="宋体" w:eastAsia="宋体"/>
                <w:sz w:val="24"/>
                <w:szCs w:val="24"/>
              </w:rPr>
            </w:pPr>
            <w:r>
              <w:rPr>
                <w:rFonts w:hint="eastAsia" w:ascii="宋体" w:hAnsi="宋体" w:eastAsia="宋体"/>
                <w:sz w:val="24"/>
                <w:szCs w:val="24"/>
              </w:rPr>
              <w:t>8.4 技术识别</w:t>
            </w:r>
          </w:p>
          <w:p w14:paraId="2492BA09">
            <w:pPr>
              <w:rPr>
                <w:rFonts w:ascii="宋体" w:hAnsi="宋体" w:eastAsia="宋体"/>
                <w:sz w:val="24"/>
                <w:szCs w:val="24"/>
              </w:rPr>
            </w:pPr>
            <w:r>
              <w:rPr>
                <w:rFonts w:hint="eastAsia" w:ascii="宋体" w:hAnsi="宋体" w:eastAsia="宋体"/>
                <w:sz w:val="24"/>
                <w:szCs w:val="24"/>
              </w:rPr>
              <w:t>8.5 案例演示</w:t>
            </w:r>
          </w:p>
        </w:tc>
        <w:tc>
          <w:tcPr>
            <w:tcW w:w="4958" w:type="dxa"/>
            <w:vAlign w:val="center"/>
          </w:tcPr>
          <w:p w14:paraId="55BF3BB0">
            <w:pPr>
              <w:rPr>
                <w:rFonts w:ascii="宋体" w:hAnsi="宋体" w:eastAsia="宋体"/>
                <w:sz w:val="24"/>
                <w:szCs w:val="24"/>
              </w:rPr>
            </w:pPr>
            <w:r>
              <w:rPr>
                <w:rFonts w:hint="eastAsia" w:ascii="宋体" w:hAnsi="宋体" w:eastAsia="宋体"/>
                <w:sz w:val="24"/>
                <w:szCs w:val="24"/>
              </w:rPr>
              <w:t>从技术角度，介绍如何使用专利计量与发掘方法，开展技术预测、技术机会识别等，发挥专利的导航作用。</w:t>
            </w:r>
          </w:p>
        </w:tc>
        <w:tc>
          <w:tcPr>
            <w:tcW w:w="1363" w:type="dxa"/>
            <w:vAlign w:val="center"/>
          </w:tcPr>
          <w:p w14:paraId="57865243">
            <w:pPr>
              <w:jc w:val="center"/>
              <w:rPr>
                <w:rFonts w:ascii="宋体" w:hAnsi="宋体" w:eastAsia="宋体"/>
                <w:sz w:val="24"/>
                <w:szCs w:val="24"/>
              </w:rPr>
            </w:pPr>
            <w:r>
              <w:rPr>
                <w:rFonts w:hint="eastAsia" w:ascii="宋体" w:hAnsi="宋体" w:eastAsia="宋体"/>
                <w:sz w:val="24"/>
                <w:szCs w:val="24"/>
              </w:rPr>
              <w:t>4</w:t>
            </w:r>
          </w:p>
        </w:tc>
        <w:tc>
          <w:tcPr>
            <w:tcW w:w="4958" w:type="dxa"/>
            <w:vAlign w:val="center"/>
          </w:tcPr>
          <w:p w14:paraId="00256073">
            <w:pPr>
              <w:rPr>
                <w:rFonts w:ascii="宋体" w:hAnsi="宋体" w:eastAsia="宋体"/>
                <w:sz w:val="24"/>
                <w:szCs w:val="24"/>
              </w:rPr>
            </w:pPr>
            <w:r>
              <w:rPr>
                <w:rFonts w:hint="eastAsia" w:ascii="宋体" w:hAnsi="宋体" w:eastAsia="宋体"/>
                <w:sz w:val="24"/>
                <w:szCs w:val="24"/>
              </w:rPr>
              <w:t>从中观与宏观层次理解专利导航的价值。通过具体导航分析，了解战略新兴产业的全国发展态势。</w:t>
            </w:r>
          </w:p>
        </w:tc>
        <w:tc>
          <w:tcPr>
            <w:tcW w:w="4958" w:type="dxa"/>
            <w:vAlign w:val="center"/>
          </w:tcPr>
          <w:p w14:paraId="3ABEF9C2">
            <w:pPr>
              <w:rPr>
                <w:rFonts w:ascii="宋体" w:hAnsi="宋体" w:eastAsia="宋体"/>
                <w:sz w:val="24"/>
                <w:szCs w:val="24"/>
              </w:rPr>
            </w:pPr>
            <w:r>
              <w:rPr>
                <w:rFonts w:hint="eastAsia" w:ascii="宋体" w:hAnsi="宋体" w:eastAsia="宋体"/>
                <w:sz w:val="24"/>
                <w:szCs w:val="24"/>
              </w:rPr>
              <w:t>理解专利导航的含义与发展，并从应用的角度掌握如何开展专利导航辅助科技创新。</w:t>
            </w:r>
          </w:p>
        </w:tc>
        <w:tc>
          <w:tcPr>
            <w:tcW w:w="1555" w:type="dxa"/>
            <w:vAlign w:val="center"/>
          </w:tcPr>
          <w:p w14:paraId="0378AFDA">
            <w:pPr>
              <w:jc w:val="center"/>
              <w:rPr>
                <w:rFonts w:ascii="宋体" w:hAnsi="宋体" w:eastAsia="宋体"/>
                <w:sz w:val="24"/>
                <w:szCs w:val="24"/>
              </w:rPr>
            </w:pPr>
            <w:r>
              <w:rPr>
                <w:rFonts w:hint="eastAsia" w:ascii="宋体" w:hAnsi="宋体" w:eastAsia="宋体"/>
                <w:sz w:val="24"/>
                <w:szCs w:val="24"/>
              </w:rPr>
              <w:t>第10,9 周</w:t>
            </w:r>
          </w:p>
        </w:tc>
        <w:tc>
          <w:tcPr>
            <w:tcW w:w="4958" w:type="dxa"/>
            <w:vAlign w:val="center"/>
          </w:tcPr>
          <w:p w14:paraId="26912738">
            <w:pPr>
              <w:rPr>
                <w:rFonts w:ascii="宋体" w:hAnsi="宋体" w:eastAsia="宋体"/>
                <w:sz w:val="24"/>
                <w:szCs w:val="24"/>
              </w:rPr>
            </w:pPr>
          </w:p>
        </w:tc>
      </w:tr>
      <w:tr w14:paraId="4FC9973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455A3CF">
            <w:pPr>
              <w:rPr>
                <w:rFonts w:ascii="宋体" w:hAnsi="宋体" w:eastAsia="宋体"/>
                <w:sz w:val="24"/>
                <w:szCs w:val="24"/>
              </w:rPr>
            </w:pPr>
            <w:r>
              <w:rPr>
                <w:rFonts w:hint="eastAsia" w:ascii="宋体" w:hAnsi="宋体" w:eastAsia="宋体"/>
                <w:sz w:val="24"/>
                <w:szCs w:val="24"/>
              </w:rPr>
              <w:t>第九章 专利数据挖掘实操</w:t>
            </w:r>
          </w:p>
          <w:p w14:paraId="4CED71C6">
            <w:pPr>
              <w:rPr>
                <w:rFonts w:ascii="宋体" w:hAnsi="宋体" w:eastAsia="宋体"/>
                <w:sz w:val="24"/>
                <w:szCs w:val="24"/>
              </w:rPr>
            </w:pPr>
            <w:r>
              <w:rPr>
                <w:rFonts w:hint="eastAsia" w:ascii="宋体" w:hAnsi="宋体" w:eastAsia="宋体"/>
                <w:sz w:val="24"/>
                <w:szCs w:val="24"/>
              </w:rPr>
              <w:t>9.1 企业专利数据分析</w:t>
            </w:r>
          </w:p>
          <w:p w14:paraId="65846A00">
            <w:pPr>
              <w:rPr>
                <w:rFonts w:ascii="宋体" w:hAnsi="宋体" w:eastAsia="宋体"/>
                <w:sz w:val="24"/>
                <w:szCs w:val="24"/>
              </w:rPr>
            </w:pPr>
            <w:r>
              <w:rPr>
                <w:rFonts w:hint="eastAsia" w:ascii="宋体" w:hAnsi="宋体" w:eastAsia="宋体"/>
                <w:sz w:val="24"/>
                <w:szCs w:val="24"/>
              </w:rPr>
              <w:t>9.2 产业专利数据分析</w:t>
            </w:r>
          </w:p>
          <w:p w14:paraId="0EA86FB9">
            <w:pPr>
              <w:rPr>
                <w:rFonts w:ascii="宋体" w:hAnsi="宋体" w:eastAsia="宋体"/>
                <w:sz w:val="24"/>
                <w:szCs w:val="24"/>
              </w:rPr>
            </w:pPr>
            <w:r>
              <w:rPr>
                <w:rFonts w:hint="eastAsia" w:ascii="宋体" w:hAnsi="宋体" w:eastAsia="宋体"/>
                <w:sz w:val="24"/>
                <w:szCs w:val="24"/>
              </w:rPr>
              <w:t>9.3 领域专利数据分析</w:t>
            </w:r>
          </w:p>
        </w:tc>
        <w:tc>
          <w:tcPr>
            <w:tcW w:w="4958" w:type="dxa"/>
            <w:vAlign w:val="center"/>
          </w:tcPr>
          <w:p w14:paraId="1E5D4BD2">
            <w:pPr>
              <w:rPr>
                <w:rFonts w:ascii="宋体" w:hAnsi="宋体" w:eastAsia="宋体"/>
                <w:sz w:val="24"/>
                <w:szCs w:val="24"/>
              </w:rPr>
            </w:pPr>
            <w:r>
              <w:rPr>
                <w:rFonts w:hint="eastAsia" w:ascii="宋体" w:hAnsi="宋体" w:eastAsia="宋体"/>
                <w:sz w:val="24"/>
                <w:szCs w:val="24"/>
              </w:rPr>
              <w:t>从企业、产业、领域等多个维度系统介绍专利数据的检索、处理、统计分析、指标构建、特征分析等活动，强化对理论的深入理解与应用。</w:t>
            </w:r>
          </w:p>
        </w:tc>
        <w:tc>
          <w:tcPr>
            <w:tcW w:w="1363" w:type="dxa"/>
            <w:vAlign w:val="center"/>
          </w:tcPr>
          <w:p w14:paraId="269D4F66">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446BEAA3">
            <w:pPr>
              <w:rPr>
                <w:rFonts w:ascii="宋体" w:hAnsi="宋体" w:eastAsia="宋体"/>
                <w:sz w:val="24"/>
                <w:szCs w:val="24"/>
              </w:rPr>
            </w:pPr>
            <w:r>
              <w:rPr>
                <w:rFonts w:hint="eastAsia" w:ascii="宋体" w:hAnsi="宋体" w:eastAsia="宋体"/>
                <w:sz w:val="24"/>
                <w:szCs w:val="24"/>
              </w:rPr>
              <w:t>无</w:t>
            </w:r>
          </w:p>
        </w:tc>
        <w:tc>
          <w:tcPr>
            <w:tcW w:w="4958" w:type="dxa"/>
            <w:vAlign w:val="center"/>
          </w:tcPr>
          <w:p w14:paraId="3A69ECAD">
            <w:pPr>
              <w:rPr>
                <w:rFonts w:ascii="宋体" w:hAnsi="宋体" w:eastAsia="宋体"/>
                <w:sz w:val="24"/>
                <w:szCs w:val="24"/>
              </w:rPr>
            </w:pPr>
            <w:r>
              <w:rPr>
                <w:rFonts w:hint="eastAsia" w:ascii="宋体" w:hAnsi="宋体" w:eastAsia="宋体"/>
                <w:sz w:val="24"/>
                <w:szCs w:val="24"/>
              </w:rPr>
              <w:t>结合前述讲解内容，以具体的专利数据开展实操，理解专利数据分析与解读的综合性，强化对应用场景重要性的认识。</w:t>
            </w:r>
          </w:p>
        </w:tc>
        <w:tc>
          <w:tcPr>
            <w:tcW w:w="1555" w:type="dxa"/>
            <w:vAlign w:val="center"/>
          </w:tcPr>
          <w:p w14:paraId="66B1A2C9">
            <w:pPr>
              <w:jc w:val="center"/>
              <w:rPr>
                <w:rFonts w:ascii="宋体" w:hAnsi="宋体" w:eastAsia="宋体"/>
                <w:sz w:val="24"/>
                <w:szCs w:val="24"/>
              </w:rPr>
            </w:pPr>
            <w:r>
              <w:rPr>
                <w:rFonts w:hint="eastAsia" w:ascii="宋体" w:hAnsi="宋体" w:eastAsia="宋体"/>
                <w:sz w:val="24"/>
                <w:szCs w:val="24"/>
              </w:rPr>
              <w:t>第11 周</w:t>
            </w:r>
          </w:p>
        </w:tc>
        <w:tc>
          <w:tcPr>
            <w:tcW w:w="4958" w:type="dxa"/>
            <w:vAlign w:val="center"/>
          </w:tcPr>
          <w:p w14:paraId="56DE0F2C">
            <w:pPr>
              <w:rPr>
                <w:rFonts w:ascii="宋体" w:hAnsi="宋体" w:eastAsia="宋体"/>
                <w:sz w:val="24"/>
                <w:szCs w:val="24"/>
              </w:rPr>
            </w:pPr>
          </w:p>
        </w:tc>
      </w:tr>
      <w:tr w14:paraId="47FD17E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615" w:hRule="atLeast"/>
          <w:jc w:val="center"/>
        </w:trPr>
        <w:tc>
          <w:tcPr>
            <w:tcW w:w="5096" w:type="dxa"/>
            <w:vAlign w:val="center"/>
          </w:tcPr>
          <w:p w14:paraId="65466D5E">
            <w:pPr>
              <w:rPr>
                <w:rFonts w:ascii="宋体" w:hAnsi="宋体" w:eastAsia="宋体"/>
                <w:sz w:val="24"/>
                <w:szCs w:val="24"/>
              </w:rPr>
            </w:pPr>
            <w:r>
              <w:rPr>
                <w:rFonts w:hint="eastAsia" w:ascii="宋体" w:hAnsi="宋体" w:eastAsia="宋体"/>
                <w:sz w:val="24"/>
                <w:szCs w:val="24"/>
              </w:rPr>
              <w:t>第十章 课程总结</w:t>
            </w:r>
          </w:p>
        </w:tc>
        <w:tc>
          <w:tcPr>
            <w:tcW w:w="4958" w:type="dxa"/>
            <w:vAlign w:val="center"/>
          </w:tcPr>
          <w:p w14:paraId="64FA47A5">
            <w:pPr>
              <w:rPr>
                <w:rFonts w:ascii="宋体" w:hAnsi="宋体" w:eastAsia="宋体"/>
                <w:sz w:val="24"/>
                <w:szCs w:val="24"/>
              </w:rPr>
            </w:pPr>
            <w:r>
              <w:rPr>
                <w:rFonts w:hint="eastAsia" w:ascii="宋体" w:hAnsi="宋体" w:eastAsia="宋体"/>
                <w:sz w:val="24"/>
                <w:szCs w:val="24"/>
              </w:rPr>
              <w:t>总结课程内容，指导学生完成课程考查。</w:t>
            </w:r>
          </w:p>
        </w:tc>
        <w:tc>
          <w:tcPr>
            <w:tcW w:w="1363" w:type="dxa"/>
            <w:vAlign w:val="center"/>
          </w:tcPr>
          <w:p w14:paraId="5DA1F037">
            <w:pPr>
              <w:jc w:val="center"/>
              <w:rPr>
                <w:rFonts w:ascii="宋体" w:hAnsi="宋体" w:eastAsia="宋体"/>
                <w:sz w:val="24"/>
                <w:szCs w:val="24"/>
              </w:rPr>
            </w:pPr>
            <w:r>
              <w:rPr>
                <w:rFonts w:hint="eastAsia" w:ascii="宋体" w:hAnsi="宋体" w:eastAsia="宋体"/>
                <w:sz w:val="24"/>
                <w:szCs w:val="24"/>
              </w:rPr>
              <w:t>3</w:t>
            </w:r>
          </w:p>
        </w:tc>
        <w:tc>
          <w:tcPr>
            <w:tcW w:w="4958" w:type="dxa"/>
            <w:vAlign w:val="center"/>
          </w:tcPr>
          <w:p w14:paraId="368035BA">
            <w:pPr>
              <w:rPr>
                <w:rFonts w:ascii="宋体" w:hAnsi="宋体" w:eastAsia="宋体"/>
                <w:sz w:val="24"/>
                <w:szCs w:val="24"/>
              </w:rPr>
            </w:pPr>
            <w:r>
              <w:rPr>
                <w:rFonts w:hint="eastAsia" w:ascii="宋体" w:hAnsi="宋体" w:eastAsia="宋体"/>
                <w:sz w:val="24"/>
                <w:szCs w:val="24"/>
              </w:rPr>
              <w:t>无</w:t>
            </w:r>
          </w:p>
        </w:tc>
        <w:tc>
          <w:tcPr>
            <w:tcW w:w="4958" w:type="dxa"/>
            <w:vAlign w:val="center"/>
          </w:tcPr>
          <w:p w14:paraId="55C47689">
            <w:pPr>
              <w:rPr>
                <w:rFonts w:ascii="宋体" w:hAnsi="宋体" w:eastAsia="宋体"/>
                <w:sz w:val="24"/>
                <w:szCs w:val="24"/>
              </w:rPr>
            </w:pPr>
            <w:r>
              <w:rPr>
                <w:rFonts w:hint="eastAsia" w:ascii="宋体" w:hAnsi="宋体" w:eastAsia="宋体"/>
                <w:sz w:val="24"/>
                <w:szCs w:val="24"/>
              </w:rPr>
              <w:t>回顾课程内容，总结课程重点。</w:t>
            </w:r>
          </w:p>
        </w:tc>
        <w:tc>
          <w:tcPr>
            <w:tcW w:w="1555" w:type="dxa"/>
            <w:vAlign w:val="center"/>
          </w:tcPr>
          <w:p w14:paraId="09FA9286">
            <w:pPr>
              <w:jc w:val="center"/>
              <w:rPr>
                <w:rFonts w:ascii="宋体" w:hAnsi="宋体" w:eastAsia="宋体"/>
                <w:sz w:val="24"/>
                <w:szCs w:val="24"/>
              </w:rPr>
            </w:pPr>
            <w:r>
              <w:rPr>
                <w:rFonts w:hint="eastAsia" w:ascii="宋体" w:hAnsi="宋体" w:eastAsia="宋体"/>
                <w:sz w:val="24"/>
                <w:szCs w:val="24"/>
              </w:rPr>
              <w:t>第12 周</w:t>
            </w:r>
          </w:p>
        </w:tc>
        <w:tc>
          <w:tcPr>
            <w:tcW w:w="4958" w:type="dxa"/>
            <w:vAlign w:val="center"/>
          </w:tcPr>
          <w:p w14:paraId="605C76A6">
            <w:pPr>
              <w:rPr>
                <w:rFonts w:ascii="宋体" w:hAnsi="宋体" w:eastAsia="宋体"/>
                <w:sz w:val="24"/>
                <w:szCs w:val="24"/>
              </w:rPr>
            </w:pPr>
          </w:p>
        </w:tc>
      </w:tr>
    </w:tbl>
    <w:p w14:paraId="2A9B2032">
      <w:pPr>
        <w:rPr>
          <w:rFonts w:ascii="仿宋" w:hAnsi="仿宋" w:eastAsia="仿宋" w:cs="仿宋"/>
          <w:sz w:val="24"/>
          <w:szCs w:val="24"/>
        </w:rPr>
      </w:pPr>
      <w:r>
        <w:rPr>
          <w:rFonts w:hint="eastAsia" w:ascii="仿宋" w:hAnsi="仿宋" w:eastAsia="仿宋"/>
          <w:bCs/>
          <w:sz w:val="24"/>
          <w:szCs w:val="24"/>
        </w:rPr>
        <w:t>合计:36</w:t>
      </w:r>
    </w:p>
    <w:p w14:paraId="2F3241AF">
      <w:pPr>
        <w:ind w:firstLine="480" w:firstLineChars="200"/>
        <w:rPr>
          <w:rFonts w:ascii="宋体" w:hAnsi="宋体" w:eastAsia="宋体"/>
          <w:bCs/>
          <w:sz w:val="24"/>
          <w:szCs w:val="24"/>
        </w:rPr>
      </w:pPr>
    </w:p>
    <w:p w14:paraId="1C94BCBE">
      <w:pPr>
        <w:rPr>
          <w:rFonts w:ascii="宋体" w:hAnsi="宋体" w:eastAsia="宋体"/>
          <w:bCs/>
          <w:sz w:val="24"/>
          <w:szCs w:val="24"/>
        </w:rPr>
      </w:pPr>
      <w:r>
        <w:rPr>
          <w:rFonts w:ascii="宋体" w:hAnsi="宋体" w:eastAsia="宋体"/>
          <w:bCs/>
          <w:sz w:val="24"/>
          <w:szCs w:val="24"/>
        </w:rPr>
        <w:t>（三）教学方法</w:t>
      </w:r>
    </w:p>
    <w:p w14:paraId="76E5DD7E">
      <w:pPr>
        <w:rPr>
          <w:rFonts w:ascii="仿宋" w:hAnsi="仿宋" w:eastAsia="仿宋"/>
          <w:bCs/>
          <w:sz w:val="24"/>
          <w:szCs w:val="24"/>
        </w:rPr>
      </w:pPr>
      <w:r>
        <w:rPr>
          <w:rFonts w:hint="eastAsia" w:ascii="仿宋" w:hAnsi="仿宋" w:eastAsia="仿宋"/>
          <w:bCs/>
          <w:sz w:val="24"/>
          <w:szCs w:val="24"/>
        </w:rPr>
        <w:t>请简要阐述本课程采用的教学方法及其实施方式。</w:t>
      </w:r>
    </w:p>
    <w:p w14:paraId="55C52619">
      <w:pPr>
        <w:pBdr>
          <w:top w:val="single" w:color="auto" w:sz="4" w:space="1"/>
          <w:left w:val="single" w:color="auto" w:sz="4" w:space="4"/>
          <w:bottom w:val="single" w:color="auto" w:sz="4" w:space="31"/>
          <w:right w:val="single" w:color="auto" w:sz="4" w:space="4"/>
        </w:pBdr>
        <w:spacing w:line="560" w:lineRule="exact"/>
        <w:ind w:firstLine="480" w:firstLineChars="200"/>
        <w:rPr>
          <w:rFonts w:ascii="宋体" w:hAnsi="宋体" w:eastAsia="宋体"/>
          <w:bCs/>
          <w:sz w:val="24"/>
          <w:szCs w:val="24"/>
        </w:rPr>
      </w:pPr>
      <w:r>
        <w:rPr>
          <w:rFonts w:ascii="宋体" w:hAnsi="宋体" w:eastAsia="宋体"/>
          <w:bCs/>
          <w:sz w:val="24"/>
          <w:szCs w:val="24"/>
        </w:rPr>
        <w:t>教学主要包括课堂讲授、课后习题、案例分析及研讨、课堂答疑等方面。课后作业由小组协作完成，培养学生的团队合作意识。案例分析以学生为中心，教师点评、补充分析。</w:t>
      </w:r>
    </w:p>
    <w:p w14:paraId="5634870B">
      <w:pPr>
        <w:pBdr>
          <w:top w:val="single" w:color="auto" w:sz="4" w:space="1"/>
          <w:left w:val="single" w:color="auto" w:sz="4" w:space="4"/>
          <w:bottom w:val="single" w:color="auto" w:sz="4" w:space="31"/>
          <w:right w:val="single" w:color="auto" w:sz="4" w:space="4"/>
        </w:pBdr>
        <w:spacing w:line="560" w:lineRule="exact"/>
        <w:ind w:firstLine="480" w:firstLineChars="200"/>
        <w:rPr>
          <w:rFonts w:ascii="宋体" w:hAnsi="宋体" w:eastAsia="宋体"/>
          <w:bCs/>
          <w:sz w:val="24"/>
          <w:szCs w:val="24"/>
        </w:rPr>
      </w:pPr>
      <w:r>
        <w:rPr>
          <w:rFonts w:ascii="宋体" w:hAnsi="宋体" w:eastAsia="宋体"/>
          <w:bCs/>
          <w:sz w:val="24"/>
          <w:szCs w:val="24"/>
        </w:rPr>
        <w:t>1.教学方法：以课堂讲授、课后习题为基础，融合专利数据、专利事件等方面的实例进行讲解分析。通过课堂思考问题的设置，引导学生关注学习内容，拓展思考视野，从专利申请人、企业、竞争对手、产业、区域乃至国家等多个层面、多种角色出发，挖掘专利文献所蕴含的科技信息与情报价值。</w:t>
      </w:r>
    </w:p>
    <w:p w14:paraId="541CCFD2">
      <w:pPr>
        <w:pBdr>
          <w:top w:val="single" w:color="auto" w:sz="4" w:space="1"/>
          <w:left w:val="single" w:color="auto" w:sz="4" w:space="4"/>
          <w:bottom w:val="single" w:color="auto" w:sz="4" w:space="31"/>
          <w:right w:val="single" w:color="auto" w:sz="4" w:space="4"/>
        </w:pBdr>
        <w:spacing w:line="560" w:lineRule="exact"/>
        <w:ind w:firstLine="480" w:firstLineChars="200"/>
        <w:rPr>
          <w:rFonts w:ascii="宋体" w:hAnsi="宋体" w:eastAsia="宋体"/>
          <w:bCs/>
          <w:sz w:val="24"/>
          <w:szCs w:val="24"/>
        </w:rPr>
      </w:pPr>
      <w:r>
        <w:rPr>
          <w:rFonts w:ascii="宋体" w:hAnsi="宋体" w:eastAsia="宋体"/>
          <w:bCs/>
          <w:sz w:val="24"/>
          <w:szCs w:val="24"/>
        </w:rPr>
        <w:t>2.课程组织：对学生进行分组，并设立负责人。根据课程内容与课后作业，引导小组以讨论共研的学习方式，共同完成作业内容，鼓励小组形成独立的判断、观点与认识。</w:t>
      </w:r>
    </w:p>
    <w:p w14:paraId="38C4E710">
      <w:pPr>
        <w:pBdr>
          <w:top w:val="single" w:color="auto" w:sz="4" w:space="1"/>
          <w:left w:val="single" w:color="auto" w:sz="4" w:space="4"/>
          <w:bottom w:val="single" w:color="auto" w:sz="4" w:space="31"/>
          <w:right w:val="single" w:color="auto" w:sz="4" w:space="4"/>
        </w:pBdr>
        <w:spacing w:line="560" w:lineRule="exact"/>
        <w:ind w:firstLine="480" w:firstLineChars="200"/>
        <w:rPr>
          <w:rFonts w:ascii="宋体" w:hAnsi="宋体" w:eastAsia="宋体"/>
          <w:bCs/>
          <w:sz w:val="24"/>
          <w:szCs w:val="24"/>
        </w:rPr>
      </w:pPr>
      <w:r>
        <w:rPr>
          <w:rFonts w:ascii="宋体" w:hAnsi="宋体" w:eastAsia="宋体"/>
          <w:bCs/>
          <w:sz w:val="24"/>
          <w:szCs w:val="24"/>
        </w:rPr>
        <w:t>信息化建设：拟开展线上线下融合的教学方式，尝试开发视频教学内容，以支撑学生课前预习、课后复习、考核作业的完成。尤其针对数据实操部分，鼓励学生通过课后练习，形成专利数据的挖掘与可视化成果。</w:t>
      </w:r>
    </w:p>
    <w:p w14:paraId="662019AE">
      <w:pPr>
        <w:widowControl/>
        <w:jc w:val="left"/>
        <w:rPr>
          <w:rFonts w:ascii="宋体" w:hAnsi="宋体" w:eastAsia="宋体"/>
          <w:b/>
          <w:bCs/>
          <w:sz w:val="24"/>
          <w:szCs w:val="24"/>
        </w:rPr>
      </w:pPr>
      <w:r>
        <w:rPr>
          <w:rFonts w:ascii="宋体" w:hAnsi="宋体" w:eastAsia="宋体"/>
          <w:b/>
          <w:bCs/>
          <w:sz w:val="24"/>
          <w:szCs w:val="24"/>
        </w:rPr>
        <w:br w:type="page"/>
      </w:r>
    </w:p>
    <w:p w14:paraId="38C01C1E">
      <w:pPr>
        <w:pStyle w:val="18"/>
        <w:spacing w:line="480" w:lineRule="exact"/>
        <w:ind w:firstLine="0" w:firstLineChars="0"/>
        <w:rPr>
          <w:rFonts w:ascii="宋体" w:hAnsi="宋体" w:eastAsia="宋体"/>
          <w:b/>
          <w:bCs/>
          <w:sz w:val="24"/>
          <w:szCs w:val="24"/>
        </w:rPr>
      </w:pPr>
      <w:r>
        <w:rPr>
          <w:rFonts w:hint="eastAsia" w:ascii="宋体" w:hAnsi="宋体" w:eastAsia="宋体"/>
          <w:b/>
          <w:bCs/>
          <w:sz w:val="24"/>
          <w:szCs w:val="24"/>
        </w:rPr>
        <w:t>四、</w:t>
      </w:r>
      <w:r>
        <w:rPr>
          <w:rFonts w:ascii="宋体" w:hAnsi="宋体" w:eastAsia="宋体"/>
          <w:b/>
          <w:bCs/>
          <w:sz w:val="24"/>
          <w:szCs w:val="24"/>
        </w:rPr>
        <w:t>课程</w:t>
      </w:r>
      <w:r>
        <w:rPr>
          <w:rFonts w:hint="eastAsia" w:ascii="宋体" w:hAnsi="宋体" w:eastAsia="宋体"/>
          <w:b/>
          <w:bCs/>
          <w:sz w:val="24"/>
          <w:szCs w:val="24"/>
        </w:rPr>
        <w:t xml:space="preserve">资源 </w:t>
      </w:r>
    </w:p>
    <w:p w14:paraId="4D084555">
      <w:pPr>
        <w:rPr>
          <w:rFonts w:ascii="仿宋" w:hAnsi="仿宋" w:eastAsia="仿宋" w:cs="仿宋"/>
          <w:sz w:val="24"/>
          <w:szCs w:val="24"/>
        </w:rPr>
      </w:pPr>
      <w:r>
        <w:rPr>
          <w:rFonts w:hint="eastAsia" w:ascii="仿宋" w:hAnsi="仿宋" w:eastAsia="仿宋"/>
          <w:bCs/>
          <w:sz w:val="24"/>
          <w:szCs w:val="24"/>
        </w:rPr>
        <w:t>请列出本课程便用的课程资源，如在线课程、各类文献资料、实习实践基地、教学团队与教学平台等。</w:t>
      </w:r>
    </w:p>
    <w:p w14:paraId="1D65CB32">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1.师资团队</w:t>
      </w:r>
    </w:p>
    <w:p w14:paraId="7B45499F">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除主讲教师外，还由本院另一名教授（侯剑华）作为第二教师参与课程的建设与教学活动。第二教师主要负责事项包括：（1）数据资源的开发；（2）教学大纲的设计完善；（3）课后答疑；（4）学生的课后讨论指导与交流。</w:t>
      </w:r>
    </w:p>
    <w:p w14:paraId="1D096645">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本课程拟配置助教一名，负责事项包括：（1）协助教师与学生开展及时、有效的交流沟通；（2）协助教师完成课辅材料、设备等的整理、放发与回收；（3）阶段性调查学生对课程的满意度、意见与想法等。</w:t>
      </w:r>
    </w:p>
    <w:p w14:paraId="134D8337">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2.教学设施</w:t>
      </w:r>
    </w:p>
    <w:p w14:paraId="236FC23E">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本课程的教学设施主要是目前学校各公共教室均配备的黑板、投影、桌椅等常用设备，相关设施能够满足教学需求。</w:t>
      </w:r>
    </w:p>
    <w:p w14:paraId="1E6D4A64">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3.课程教材教辅资料</w:t>
      </w:r>
    </w:p>
    <w:p w14:paraId="55881C28">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一方面，本课程需要针对授课内容开发新的讲义，同时需要收集整理企业专利行为、数据分析、运营管理等方面的信息与数据。</w:t>
      </w:r>
    </w:p>
    <w:p w14:paraId="09BBD79A">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另一方面，本课程整理专利数据、专利计量、专利运营等方面的经典书籍作为课辅材料，以保证课程目标的有效达成，具体包括：</w:t>
      </w:r>
    </w:p>
    <w:p w14:paraId="5780803A">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(1)专利导航典型案例汇编，国家专利导航试点，知识产权出版社，2020年；</w:t>
      </w:r>
    </w:p>
    <w:p w14:paraId="06065647">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(2)专利布局（第2版），马天旗，知识产权出版社，2020年；</w:t>
      </w:r>
    </w:p>
    <w:p w14:paraId="1877225B">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(3)专利检索：从入门到精通，杨帆，知识产权出版社，2021年；</w:t>
      </w:r>
    </w:p>
    <w:p w14:paraId="24C999BE">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(4)专利申请与布局，张威浩，知识产权出版社，2022年；</w:t>
      </w:r>
    </w:p>
    <w:p w14:paraId="34A20686">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(5)专利信息计量学，文庭孝，科学出版社，2017年；</w:t>
      </w:r>
    </w:p>
    <w:p w14:paraId="2B2176D4">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(6)专利制度的历史变迁，袁锋，中国人民大学出版社，2021年；</w:t>
      </w:r>
    </w:p>
    <w:p w14:paraId="74C7A81E">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(7)专利计量与专利合作，温芳芳，中国社会科学出版社，2015年；</w:t>
      </w:r>
    </w:p>
    <w:p w14:paraId="1ED90AB3">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4.现代教学技术的应用</w:t>
      </w:r>
    </w:p>
    <w:p w14:paraId="05F4A547">
      <w:pPr>
        <w:pBdr>
          <w:top w:val="single" w:color="auto" w:sz="4" w:space="1"/>
          <w:left w:val="single" w:color="auto" w:sz="4" w:space="4"/>
          <w:bottom w:val="single" w:color="auto" w:sz="4" w:space="1"/>
          <w:right w:val="single" w:color="auto" w:sz="4" w:space="4"/>
        </w:pBdr>
        <w:spacing w:line="560" w:lineRule="exact"/>
        <w:ind w:firstLine="480" w:firstLineChars="200"/>
        <w:rPr>
          <w:rFonts w:cs="仿宋" w:asciiTheme="minorEastAsia" w:hAnsiTheme="minorEastAsia" w:eastAsiaTheme="minorEastAsia"/>
          <w:sz w:val="24"/>
          <w:szCs w:val="24"/>
        </w:rPr>
      </w:pPr>
      <w:r>
        <w:rPr>
          <w:rFonts w:ascii="宋体" w:hAnsi="宋体" w:eastAsia="宋体"/>
          <w:bCs/>
          <w:sz w:val="24"/>
          <w:szCs w:val="24"/>
        </w:rPr>
        <w:t>本课程拟尝试开展线上与线下教学相结合，开发课程实操部分的线上教学视频，辅助课程讲解，支撑学生课前预习、课后复习、考核作业的完成。</w:t>
      </w:r>
    </w:p>
    <w:p w14:paraId="2DE90B38">
      <w:pPr>
        <w:pStyle w:val="18"/>
        <w:spacing w:line="480" w:lineRule="exact"/>
        <w:ind w:firstLine="0" w:firstLineChars="0"/>
        <w:rPr>
          <w:rFonts w:ascii="宋体" w:hAnsi="宋体" w:eastAsia="宋体"/>
          <w:b/>
          <w:bCs/>
          <w:sz w:val="24"/>
          <w:szCs w:val="24"/>
        </w:rPr>
      </w:pPr>
    </w:p>
    <w:p w14:paraId="60601BEA">
      <w:pPr>
        <w:widowControl/>
        <w:jc w:val="left"/>
        <w:rPr>
          <w:rFonts w:ascii="宋体" w:hAnsi="宋体" w:eastAsia="宋体"/>
          <w:b/>
          <w:bCs/>
          <w:sz w:val="24"/>
          <w:szCs w:val="24"/>
        </w:rPr>
      </w:pPr>
      <w:r>
        <w:rPr>
          <w:rFonts w:ascii="宋体" w:hAnsi="宋体" w:eastAsia="宋体"/>
          <w:b/>
          <w:bCs/>
          <w:sz w:val="24"/>
          <w:szCs w:val="24"/>
        </w:rPr>
        <w:br w:type="page"/>
      </w:r>
    </w:p>
    <w:p w14:paraId="6863CC2D">
      <w:pPr>
        <w:pStyle w:val="18"/>
        <w:spacing w:line="480" w:lineRule="exact"/>
        <w:ind w:firstLine="0" w:firstLineChars="0"/>
        <w:rPr>
          <w:rFonts w:ascii="宋体" w:hAnsi="宋体" w:eastAsia="宋体"/>
          <w:b/>
          <w:bCs/>
          <w:sz w:val="24"/>
          <w:szCs w:val="24"/>
        </w:rPr>
      </w:pPr>
      <w:r>
        <w:rPr>
          <w:rFonts w:hint="eastAsia" w:ascii="宋体" w:hAnsi="宋体" w:eastAsia="宋体"/>
          <w:b/>
          <w:bCs/>
          <w:sz w:val="24"/>
          <w:szCs w:val="24"/>
        </w:rPr>
        <w:t>五、成绩评定方式</w:t>
      </w:r>
    </w:p>
    <w:p w14:paraId="0A6F709A">
      <w:pPr>
        <w:rPr>
          <w:rFonts w:ascii="仿宋" w:hAnsi="仿宋" w:eastAsia="仿宋"/>
          <w:bCs/>
          <w:sz w:val="24"/>
          <w:szCs w:val="24"/>
        </w:rPr>
      </w:pPr>
      <w:r>
        <w:rPr>
          <w:rFonts w:hint="eastAsia" w:ascii="仿宋" w:hAnsi="仿宋" w:eastAsia="仿宋"/>
          <w:bCs/>
          <w:sz w:val="24"/>
          <w:szCs w:val="24"/>
        </w:rPr>
        <w:t>课程考核应坚持过程性与结果性考核相结合，采用多种形式、多个阶段的考核方式，平时成绩一般占 40%~60%左右。</w:t>
      </w:r>
    </w:p>
    <w:p w14:paraId="05897C98">
      <w:pPr>
        <w:spacing w:line="480" w:lineRule="exact"/>
        <w:ind w:firstLine="482" w:firstLineChars="200"/>
        <w:rPr>
          <w:sz w:val="24"/>
        </w:rPr>
      </w:pPr>
      <w:r>
        <w:rPr>
          <w:rFonts w:hint="eastAsia"/>
          <w:b/>
          <w:sz w:val="24"/>
        </w:rPr>
        <w:t>考 核 方 式：考查</w:t>
      </w:r>
    </w:p>
    <w:p w14:paraId="4A5D7597">
      <w:pPr>
        <w:spacing w:line="480" w:lineRule="exact"/>
        <w:ind w:firstLine="482" w:firstLineChars="200"/>
        <w:rPr>
          <w:sz w:val="24"/>
        </w:rPr>
      </w:pPr>
      <w:r>
        <w:rPr>
          <w:rFonts w:hint="eastAsia"/>
          <w:b/>
          <w:sz w:val="24"/>
        </w:rPr>
        <w:t>成绩录入方式： 百分制</w:t>
      </w:r>
    </w:p>
    <w:p w14:paraId="2746402D">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本课程采用过程与结果相结合的成绩评定方式：</w:t>
      </w:r>
    </w:p>
    <w:p w14:paraId="14A33C62">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一、总成绩构成：平时考核占比50%，期末考核占比50%。</w:t>
      </w:r>
    </w:p>
    <w:p w14:paraId="069E44F2">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二、平时考核说明：</w:t>
      </w:r>
    </w:p>
    <w:p w14:paraId="650DA1C4">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1）课堂参与度与出勤情况（20分）。每学期考勤次数不少于5次，每次考勤4分，无故旷课、迟到、早退等情况扣除当次考勤分数，缺勤严重者则取消平时成绩。请假须按照学校规定执行，须提前请假，不得由他人代请假；却因特殊情况未提前请假的，须事后1周内补齐请假手续，否则按旷课处理。</w:t>
      </w:r>
    </w:p>
    <w:p w14:paraId="5C353599">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2）课程作业（30分）。根据教学进度安排3次课后作业，每次作业10分。主要考察学生对讲授内容的理解和运用能力，由任课教师批阅并给分。未交、缓交作业的，当次不给分。因请假造成缓交作业的，须于销假时补交作业，否则按未交作业处理。</w:t>
      </w:r>
    </w:p>
    <w:p w14:paraId="13022C48">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p>
    <w:p w14:paraId="2FF9A4E6">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三、期末考核说明：</w:t>
      </w:r>
    </w:p>
    <w:p w14:paraId="380B29F8">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期末考核采取考查方式，课程作业满分50分。</w:t>
      </w:r>
    </w:p>
    <w:p w14:paraId="4C15AD1F">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要求结合自身专业特征、个人兴趣，选取课程中某一章节的主题或子主题，基于专利数据开展定性与定量分析，形成课程的《***分析报告》。</w:t>
      </w:r>
    </w:p>
    <w:p w14:paraId="71A593E2">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r>
        <w:rPr>
          <w:rFonts w:ascii="宋体" w:hAnsi="宋体" w:eastAsia="宋体"/>
          <w:bCs/>
          <w:sz w:val="24"/>
          <w:szCs w:val="24"/>
        </w:rPr>
        <w:t>评分标准主要包括：1.报告形式与内容的规范性；2. 专利数据检索的合理性；3. 专利数据分析与业务场景的融合程度；4.分析过程与方法的严谨性；5. 分析结论与应对策略的合理性。</w:t>
      </w:r>
    </w:p>
    <w:p w14:paraId="6098EB4D">
      <w:pPr>
        <w:pBdr>
          <w:top w:val="single" w:color="auto" w:sz="4" w:space="1"/>
          <w:left w:val="single" w:color="auto" w:sz="4" w:space="4"/>
          <w:bottom w:val="single" w:color="auto" w:sz="4" w:space="1"/>
          <w:right w:val="single" w:color="auto" w:sz="4" w:space="4"/>
        </w:pBdr>
        <w:spacing w:line="560" w:lineRule="exact"/>
        <w:rPr>
          <w:rFonts w:asciiTheme="minorEastAsia" w:hAnsiTheme="minorEastAsia" w:eastAsiaTheme="minorEastAsia"/>
          <w:sz w:val="24"/>
          <w:szCs w:val="24"/>
        </w:rPr>
      </w:pPr>
    </w:p>
    <w:p w14:paraId="3ED72AA7">
      <w:pPr>
        <w:pStyle w:val="18"/>
        <w:spacing w:line="480" w:lineRule="exact"/>
        <w:ind w:left="480" w:firstLine="0" w:firstLineChars="0"/>
        <w:rPr>
          <w:rFonts w:ascii="宋体" w:hAnsi="宋体" w:eastAsia="宋体"/>
          <w:b/>
          <w:bCs/>
          <w:sz w:val="24"/>
          <w:szCs w:val="24"/>
        </w:rPr>
      </w:pPr>
    </w:p>
    <w:p w14:paraId="3B145552">
      <w:pPr>
        <w:pStyle w:val="18"/>
        <w:spacing w:line="480" w:lineRule="exact"/>
        <w:ind w:firstLine="0" w:firstLineChars="0"/>
        <w:rPr>
          <w:rFonts w:ascii="宋体" w:hAnsi="宋体" w:eastAsia="宋体"/>
          <w:b/>
          <w:bCs/>
          <w:sz w:val="24"/>
          <w:szCs w:val="24"/>
        </w:rPr>
      </w:pPr>
      <w:r>
        <w:rPr>
          <w:rFonts w:hint="eastAsia" w:ascii="宋体" w:hAnsi="宋体" w:eastAsia="宋体"/>
          <w:b/>
          <w:bCs/>
          <w:sz w:val="24"/>
          <w:szCs w:val="24"/>
        </w:rPr>
        <w:t>六、主要参考</w:t>
      </w:r>
      <w:r>
        <w:rPr>
          <w:rFonts w:ascii="宋体" w:hAnsi="宋体" w:eastAsia="宋体"/>
          <w:b/>
          <w:bCs/>
          <w:sz w:val="24"/>
          <w:szCs w:val="24"/>
        </w:rPr>
        <w:t>书目</w:t>
      </w:r>
    </w:p>
    <w:p w14:paraId="07C4260E">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(1)专利导航典型案例汇编，国家专利导航试点，知识产权出版社，2020年；</w:t>
      </w:r>
    </w:p>
    <w:p w14:paraId="6923A7A0">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(2)专利布局（第2版），马天旗，知识产权出版社，2020年；</w:t>
      </w:r>
    </w:p>
    <w:p w14:paraId="77209D86">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(3)专利检索：从入门到精通，杨帆，知识产权出版社，2021年；</w:t>
      </w:r>
    </w:p>
    <w:p w14:paraId="40BA20F2">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(4)专利申请与布局，张威浩，知识产权出版社，2022年；</w:t>
      </w:r>
    </w:p>
    <w:p w14:paraId="29186EC7">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(5)专利信息计量学，文庭孝，科学出版社，2017年；</w:t>
      </w:r>
    </w:p>
    <w:p w14:paraId="74CD02D7">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(6)专利制度的历史变迁，袁锋，中国人民大学出版社，2021年；</w:t>
      </w:r>
    </w:p>
    <w:p w14:paraId="551EF43A">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r>
        <w:rPr>
          <w:rFonts w:ascii="宋体" w:hAnsi="宋体" w:eastAsia="宋体"/>
          <w:bCs/>
          <w:sz w:val="24"/>
          <w:szCs w:val="24"/>
        </w:rPr>
        <w:t>(7)专利计量与专利合作，温芳芳，中国社会科学出版社，2015年；</w:t>
      </w:r>
    </w:p>
    <w:p w14:paraId="57582F88">
      <w:pPr>
        <w:pBdr>
          <w:top w:val="single" w:color="auto" w:sz="4" w:space="1"/>
          <w:left w:val="single" w:color="auto" w:sz="4" w:space="4"/>
          <w:bottom w:val="single" w:color="auto" w:sz="4" w:space="1"/>
          <w:right w:val="single" w:color="auto" w:sz="4" w:space="4"/>
        </w:pBdr>
        <w:spacing w:line="480" w:lineRule="exact"/>
        <w:rPr>
          <w:rFonts w:cs="仿宋" w:asciiTheme="minorEastAsia" w:hAnsiTheme="minorEastAsia" w:eastAsiaTheme="minorEastAsia"/>
          <w:sz w:val="24"/>
          <w:szCs w:val="24"/>
        </w:rPr>
      </w:pPr>
    </w:p>
    <w:p w14:paraId="16101711">
      <w:pPr>
        <w:spacing w:line="480" w:lineRule="exact"/>
        <w:rPr>
          <w:b/>
          <w:bCs/>
          <w:i/>
          <w:iCs/>
          <w:sz w:val="24"/>
          <w:szCs w:val="24"/>
          <w:u w:val="single"/>
        </w:rPr>
      </w:pPr>
      <w:r>
        <w:rPr>
          <w:rFonts w:ascii="黑体" w:hAnsi="黑体" w:eastAsia="黑体"/>
          <w:b/>
          <w:bCs/>
          <w:sz w:val="28"/>
          <w:szCs w:val="28"/>
        </w:rPr>
        <w:t>注：</w:t>
      </w:r>
      <w:r>
        <w:rPr>
          <w:rFonts w:ascii="宋体" w:hAnsi="宋体"/>
          <w:b/>
          <w:bCs/>
          <w:i/>
          <w:iCs/>
          <w:sz w:val="24"/>
          <w:szCs w:val="24"/>
          <w:u w:val="single"/>
        </w:rPr>
        <w:t>正文为小四号</w:t>
      </w:r>
      <w:r>
        <w:rPr>
          <w:rFonts w:hint="eastAsia" w:ascii="宋体" w:hAnsi="宋体"/>
          <w:b/>
          <w:bCs/>
          <w:i/>
          <w:iCs/>
          <w:sz w:val="24"/>
          <w:szCs w:val="24"/>
          <w:u w:val="single"/>
        </w:rPr>
        <w:t>宋</w:t>
      </w:r>
      <w:r>
        <w:rPr>
          <w:rFonts w:ascii="宋体" w:hAnsi="宋体"/>
          <w:b/>
          <w:bCs/>
          <w:i/>
          <w:iCs/>
          <w:sz w:val="24"/>
          <w:szCs w:val="24"/>
          <w:u w:val="single"/>
        </w:rPr>
        <w:t>体。</w:t>
      </w:r>
    </w:p>
    <w:sectPr>
      <w:footerReference r:id="rId3" w:type="default"/>
      <w:pgSz w:w="11906" w:h="16838"/>
      <w:pgMar w:top="1440" w:right="1800" w:bottom="1440" w:left="1800" w:header="851" w:footer="992" w:gutter="0"/>
      <w:pgNumType w:start="0" w:chapStyle="1"/>
      <w:cols w:space="425" w:num="1"/>
      <w:titlePg/>
      <w:docGrid w:type="lines" w:linePitch="43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Arial">
    <w:panose1 w:val="020B0604020202020204"/>
    <w:charset w:val="00"/>
    <w:family w:val="swiss"/>
    <w:pitch w:val="default"/>
    <w:sig w:usb0="E0002EFF" w:usb1="C000785B"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587A32">
    <w:pPr>
      <w:pStyle w:val="6"/>
      <w:jc w:val="center"/>
    </w:pPr>
    <w:r>
      <w:fldChar w:fldCharType="begin"/>
    </w:r>
    <w:r>
      <w:instrText xml:space="preserve">PAGE   \* MERGEFORMAT</w:instrText>
    </w:r>
    <w:r>
      <w:fldChar w:fldCharType="separate"/>
    </w:r>
    <w:r>
      <w:rPr>
        <w:lang w:val="zh-CN"/>
      </w:rPr>
      <w:t>1</w:t>
    </w:r>
    <w:r>
      <w:fldChar w:fldCharType="end"/>
    </w:r>
  </w:p>
  <w:p w14:paraId="5E54C966">
    <w:pPr>
      <w:pStyle w:val="6"/>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60"/>
  <w:drawingGridVerticalSpacing w:val="435"/>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1532"/>
    <w:rsid w:val="000156B4"/>
    <w:rsid w:val="000C589C"/>
    <w:rsid w:val="00100A9E"/>
    <w:rsid w:val="0011396B"/>
    <w:rsid w:val="00163D68"/>
    <w:rsid w:val="001E5BA8"/>
    <w:rsid w:val="001F27FE"/>
    <w:rsid w:val="00261C66"/>
    <w:rsid w:val="00323307"/>
    <w:rsid w:val="00334E6D"/>
    <w:rsid w:val="003C4767"/>
    <w:rsid w:val="003C4B7C"/>
    <w:rsid w:val="004C188A"/>
    <w:rsid w:val="004D6EF2"/>
    <w:rsid w:val="004F1A73"/>
    <w:rsid w:val="00537774"/>
    <w:rsid w:val="00575107"/>
    <w:rsid w:val="00634CEE"/>
    <w:rsid w:val="006B17A7"/>
    <w:rsid w:val="006D1BF4"/>
    <w:rsid w:val="006E5D54"/>
    <w:rsid w:val="00724C14"/>
    <w:rsid w:val="0077418E"/>
    <w:rsid w:val="007D022B"/>
    <w:rsid w:val="007F1532"/>
    <w:rsid w:val="00816C2B"/>
    <w:rsid w:val="00855DC4"/>
    <w:rsid w:val="0087443B"/>
    <w:rsid w:val="00900E7C"/>
    <w:rsid w:val="00975C55"/>
    <w:rsid w:val="009876B0"/>
    <w:rsid w:val="00996EBF"/>
    <w:rsid w:val="009A5908"/>
    <w:rsid w:val="00A71237"/>
    <w:rsid w:val="00A716D2"/>
    <w:rsid w:val="00A830B0"/>
    <w:rsid w:val="00AA2D87"/>
    <w:rsid w:val="00B029E3"/>
    <w:rsid w:val="00B239FA"/>
    <w:rsid w:val="00B46933"/>
    <w:rsid w:val="00B75139"/>
    <w:rsid w:val="00D04E18"/>
    <w:rsid w:val="00D52D2D"/>
    <w:rsid w:val="00E04836"/>
    <w:rsid w:val="00E11999"/>
    <w:rsid w:val="00ED410E"/>
    <w:rsid w:val="00F962D0"/>
    <w:rsid w:val="00FE3566"/>
    <w:rsid w:val="0EE7731A"/>
    <w:rsid w:val="1EBB67AC"/>
    <w:rsid w:val="2A224F55"/>
    <w:rsid w:val="2FA364BD"/>
    <w:rsid w:val="40222448"/>
    <w:rsid w:val="51C0783E"/>
    <w:rsid w:val="52820048"/>
    <w:rsid w:val="60C475AD"/>
    <w:rsid w:val="6ED24CB1"/>
  </w:rsids>
  <m:mathPr>
    <m:mathFont m:val="Cambria Math"/>
    <m:brkBin m:val="before"/>
    <m:brkBinSub m:val="--"/>
    <m:smallFrac m:val="0"/>
    <m:dispDef/>
    <m:lMargin m:val="0"/>
    <m:rMargin m:val="0"/>
    <m:defJc m:val="centerGroup"/>
    <m:wrapIndent m:val="1440"/>
    <m:intLim m:val="subSup"/>
    <m:naryLim m:val="undOvr"/>
  </m:mathPr>
  <w:themeFontLang w:val="en-US" w:eastAsia="zh-CN" w:bidi="mn-Mong-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qFormat="1" w:unhideWhenUsed="0" w:uiPriority="0" w:semiHidden="0" w:name="footnote text"/>
    <w:lsdException w:uiPriority="0" w:name="annotation text"/>
    <w:lsdException w:qFormat="1" w:unhideWhenUsed="0" w:uiPriority="99"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0" w:name="annotation reference"/>
    <w:lsdException w:uiPriority="0" w:name="line number"/>
    <w:lsdException w:uiPriority="0" w:name="page number"/>
    <w:lsdException w:uiPriority="0" w:name="endnote reference"/>
    <w:lsdException w:qFormat="1" w:unhideWhenUsed="0" w:uiPriority="0" w:semiHidden="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name="Default Paragraph Font"/>
    <w:lsdException w:uiPriority="0" w:name="Body Text"/>
    <w:lsdException w:unhideWhenUsed="0" w:uiPriority="99"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32"/>
      <w:lang w:val="en-US" w:eastAsia="zh-CN" w:bidi="ar-SA"/>
    </w:rPr>
  </w:style>
  <w:style w:type="character" w:default="1" w:styleId="13">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24"/>
    <w:semiHidden/>
    <w:unhideWhenUsed/>
    <w:uiPriority w:val="0"/>
    <w:pPr>
      <w:jc w:val="left"/>
    </w:pPr>
  </w:style>
  <w:style w:type="paragraph" w:styleId="3">
    <w:name w:val="Body Text Indent"/>
    <w:basedOn w:val="1"/>
    <w:link w:val="20"/>
    <w:uiPriority w:val="99"/>
    <w:pPr>
      <w:ind w:firstLine="560" w:firstLineChars="200"/>
    </w:pPr>
    <w:rPr>
      <w:rFonts w:ascii="Arial" w:hAnsi="Arial" w:eastAsia="楷体_GB2312" w:cs="Arial"/>
      <w:sz w:val="28"/>
      <w:szCs w:val="28"/>
    </w:rPr>
  </w:style>
  <w:style w:type="paragraph" w:styleId="4">
    <w:name w:val="endnote text"/>
    <w:basedOn w:val="1"/>
    <w:qFormat/>
    <w:uiPriority w:val="0"/>
    <w:pPr>
      <w:snapToGrid w:val="0"/>
      <w:jc w:val="left"/>
    </w:pPr>
  </w:style>
  <w:style w:type="paragraph" w:styleId="5">
    <w:name w:val="Balloon Text"/>
    <w:basedOn w:val="1"/>
    <w:link w:val="23"/>
    <w:qFormat/>
    <w:uiPriority w:val="0"/>
    <w:rPr>
      <w:sz w:val="18"/>
      <w:szCs w:val="18"/>
    </w:rPr>
  </w:style>
  <w:style w:type="paragraph" w:styleId="6">
    <w:name w:val="footer"/>
    <w:basedOn w:val="1"/>
    <w:link w:val="22"/>
    <w:qFormat/>
    <w:uiPriority w:val="99"/>
    <w:pPr>
      <w:tabs>
        <w:tab w:val="center" w:pos="4153"/>
        <w:tab w:val="right" w:pos="8306"/>
      </w:tabs>
      <w:snapToGrid w:val="0"/>
      <w:jc w:val="left"/>
    </w:pPr>
    <w:rPr>
      <w:sz w:val="18"/>
      <w:szCs w:val="18"/>
    </w:rPr>
  </w:style>
  <w:style w:type="paragraph" w:styleId="7">
    <w:name w:val="header"/>
    <w:basedOn w:val="1"/>
    <w:link w:val="21"/>
    <w:qFormat/>
    <w:uiPriority w:val="99"/>
    <w:pPr>
      <w:pBdr>
        <w:bottom w:val="single" w:color="auto" w:sz="6" w:space="1"/>
      </w:pBdr>
      <w:tabs>
        <w:tab w:val="center" w:pos="4153"/>
        <w:tab w:val="right" w:pos="8306"/>
      </w:tabs>
      <w:snapToGrid w:val="0"/>
      <w:jc w:val="center"/>
    </w:pPr>
    <w:rPr>
      <w:sz w:val="18"/>
      <w:szCs w:val="18"/>
    </w:rPr>
  </w:style>
  <w:style w:type="paragraph" w:styleId="8">
    <w:name w:val="Subtitle"/>
    <w:basedOn w:val="1"/>
    <w:link w:val="19"/>
    <w:qFormat/>
    <w:uiPriority w:val="0"/>
    <w:pPr>
      <w:spacing w:before="240" w:after="60" w:line="312" w:lineRule="auto"/>
      <w:jc w:val="center"/>
      <w:outlineLvl w:val="1"/>
    </w:pPr>
    <w:rPr>
      <w:rFonts w:ascii="Arial" w:hAnsi="Arial" w:eastAsia="宋体" w:cs="Arial"/>
      <w:b/>
      <w:bCs/>
      <w:kern w:val="28"/>
    </w:rPr>
  </w:style>
  <w:style w:type="paragraph" w:styleId="9">
    <w:name w:val="footnote text"/>
    <w:basedOn w:val="1"/>
    <w:qFormat/>
    <w:uiPriority w:val="0"/>
    <w:pPr>
      <w:snapToGrid w:val="0"/>
      <w:jc w:val="left"/>
    </w:pPr>
    <w:rPr>
      <w:sz w:val="18"/>
    </w:rPr>
  </w:style>
  <w:style w:type="paragraph" w:styleId="10">
    <w:name w:val="annotation subject"/>
    <w:basedOn w:val="2"/>
    <w:next w:val="2"/>
    <w:link w:val="25"/>
    <w:semiHidden/>
    <w:unhideWhenUsed/>
    <w:uiPriority w:val="0"/>
    <w:rPr>
      <w:b/>
      <w:bCs/>
    </w:rPr>
  </w:style>
  <w:style w:type="table" w:styleId="12">
    <w:name w:val="Table Grid"/>
    <w:basedOn w:val="11"/>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unhideWhenUsed/>
    <w:qFormat/>
    <w:uiPriority w:val="0"/>
    <w:rPr>
      <w:sz w:val="21"/>
      <w:szCs w:val="21"/>
    </w:rPr>
  </w:style>
  <w:style w:type="character" w:styleId="15">
    <w:name w:val="footnote reference"/>
    <w:basedOn w:val="13"/>
    <w:qFormat/>
    <w:uiPriority w:val="0"/>
    <w:rPr>
      <w:vertAlign w:val="superscript"/>
    </w:rPr>
  </w:style>
  <w:style w:type="paragraph" w:customStyle="1" w:styleId="16">
    <w:name w:val="MTable"/>
    <w:basedOn w:val="3"/>
    <w:link w:val="17"/>
    <w:qFormat/>
    <w:uiPriority w:val="0"/>
    <w:pPr>
      <w:adjustRightInd w:val="0"/>
      <w:snapToGrid w:val="0"/>
      <w:ind w:firstLine="0" w:firstLineChars="0"/>
      <w:jc w:val="center"/>
    </w:pPr>
    <w:rPr>
      <w:rFonts w:ascii="宋体" w:hAnsi="宋体" w:eastAsia="宋体"/>
      <w:sz w:val="24"/>
      <w:szCs w:val="24"/>
    </w:rPr>
  </w:style>
  <w:style w:type="character" w:customStyle="1" w:styleId="17">
    <w:name w:val="MTable 字符"/>
    <w:link w:val="16"/>
    <w:uiPriority w:val="0"/>
    <w:rPr>
      <w:rFonts w:ascii="宋体" w:hAnsi="宋体" w:eastAsia="楷体_GB2312" w:cs="Arial"/>
      <w:kern w:val="2"/>
      <w:sz w:val="24"/>
      <w:szCs w:val="24"/>
    </w:rPr>
  </w:style>
  <w:style w:type="paragraph" w:styleId="18">
    <w:name w:val="List Paragraph"/>
    <w:basedOn w:val="1"/>
    <w:qFormat/>
    <w:uiPriority w:val="34"/>
    <w:pPr>
      <w:ind w:firstLine="420" w:firstLineChars="200"/>
    </w:pPr>
  </w:style>
  <w:style w:type="character" w:customStyle="1" w:styleId="19">
    <w:name w:val="副标题 Char"/>
    <w:basedOn w:val="13"/>
    <w:link w:val="8"/>
    <w:qFormat/>
    <w:uiPriority w:val="99"/>
    <w:rPr>
      <w:rFonts w:ascii="Arial" w:hAnsi="Arial" w:eastAsia="宋体" w:cs="Arial"/>
      <w:b/>
      <w:bCs/>
      <w:kern w:val="28"/>
      <w:sz w:val="32"/>
      <w:szCs w:val="32"/>
    </w:rPr>
  </w:style>
  <w:style w:type="character" w:customStyle="1" w:styleId="20">
    <w:name w:val="正文文本缩进 Char"/>
    <w:basedOn w:val="13"/>
    <w:link w:val="3"/>
    <w:qFormat/>
    <w:uiPriority w:val="99"/>
    <w:rPr>
      <w:rFonts w:ascii="Arial" w:hAnsi="Arial" w:eastAsia="楷体_GB2312" w:cs="Arial"/>
      <w:sz w:val="28"/>
      <w:szCs w:val="28"/>
    </w:rPr>
  </w:style>
  <w:style w:type="character" w:customStyle="1" w:styleId="21">
    <w:name w:val="页眉 Char"/>
    <w:basedOn w:val="13"/>
    <w:link w:val="7"/>
    <w:qFormat/>
    <w:uiPriority w:val="99"/>
    <w:rPr>
      <w:rFonts w:ascii="Times New Roman" w:hAnsi="Times New Roman" w:eastAsia="仿宋_GB2312" w:cs="Times New Roman"/>
      <w:sz w:val="18"/>
      <w:szCs w:val="18"/>
    </w:rPr>
  </w:style>
  <w:style w:type="character" w:customStyle="1" w:styleId="22">
    <w:name w:val="页脚 Char"/>
    <w:basedOn w:val="13"/>
    <w:link w:val="6"/>
    <w:qFormat/>
    <w:uiPriority w:val="99"/>
    <w:rPr>
      <w:rFonts w:ascii="Times New Roman" w:hAnsi="Times New Roman" w:eastAsia="仿宋_GB2312" w:cs="Times New Roman"/>
      <w:sz w:val="18"/>
      <w:szCs w:val="18"/>
    </w:rPr>
  </w:style>
  <w:style w:type="character" w:customStyle="1" w:styleId="23">
    <w:name w:val="批注框文本 Char"/>
    <w:basedOn w:val="13"/>
    <w:link w:val="5"/>
    <w:qFormat/>
    <w:uiPriority w:val="0"/>
    <w:rPr>
      <w:rFonts w:ascii="Times New Roman" w:hAnsi="Times New Roman" w:eastAsia="仿宋_GB2312" w:cs="Times New Roman"/>
      <w:kern w:val="2"/>
      <w:sz w:val="18"/>
      <w:szCs w:val="18"/>
    </w:rPr>
  </w:style>
  <w:style w:type="character" w:customStyle="1" w:styleId="24">
    <w:name w:val="批注文字 Char"/>
    <w:basedOn w:val="13"/>
    <w:link w:val="2"/>
    <w:semiHidden/>
    <w:uiPriority w:val="0"/>
    <w:rPr>
      <w:rFonts w:ascii="Times New Roman" w:hAnsi="Times New Roman" w:eastAsia="仿宋_GB2312" w:cs="Times New Roman"/>
      <w:kern w:val="2"/>
      <w:sz w:val="32"/>
      <w:szCs w:val="32"/>
    </w:rPr>
  </w:style>
  <w:style w:type="character" w:customStyle="1" w:styleId="25">
    <w:name w:val="批注主题 Char"/>
    <w:basedOn w:val="24"/>
    <w:link w:val="10"/>
    <w:semiHidden/>
    <w:uiPriority w:val="0"/>
    <w:rPr>
      <w:rFonts w:ascii="Times New Roman" w:hAnsi="Times New Roman" w:eastAsia="仿宋_GB2312" w:cs="Times New Roman"/>
      <w:b/>
      <w:bCs/>
      <w:kern w:val="2"/>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205</Words>
  <Characters>1172</Characters>
  <Lines>9</Lines>
  <Paragraphs>2</Paragraphs>
  <TotalTime>0</TotalTime>
  <ScaleCrop>false</ScaleCrop>
  <LinksUpToDate>false</LinksUpToDate>
  <CharactersWithSpaces>1375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2018-09-06T04:09:00Z</dcterms:created>
  <dc:creator>chen</dc:creator>
  <cp:lastModifiedBy>Vante.</cp:lastModifiedBy>
  <cp:lastPrinted>2018-06-28T02:23:00Z</cp:lastPrinted>
  <dcterms:modified xsi:type="dcterms:W3CDTF">2026-04-12T06:23:13Z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F54FE375492D447087A74D6E9CC3D76D_13</vt:lpwstr>
  </property>
</Properties>
</file>