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C2E1F">
      <w:pPr>
        <w:spacing w:line="480" w:lineRule="exact"/>
        <w:rPr>
          <w:sz w:val="24"/>
        </w:rPr>
      </w:pPr>
      <w:bookmarkStart w:id="0" w:name="_GoBack"/>
      <w:bookmarkEnd w:id="0"/>
    </w:p>
    <w:p w14:paraId="07A682EC">
      <w:pPr>
        <w:spacing w:line="1480" w:lineRule="exact"/>
        <w:jc w:val="center"/>
        <w:rPr>
          <w:rFonts w:eastAsia="楷体_GB2312"/>
          <w:b/>
          <w:bCs/>
          <w:spacing w:val="40"/>
          <w:sz w:val="72"/>
        </w:rPr>
      </w:pPr>
      <w:r>
        <w:rPr>
          <w:rFonts w:eastAsia="楷体_GB2312"/>
          <w:b/>
          <w:bCs/>
          <w:spacing w:val="40"/>
          <w:sz w:val="72"/>
        </w:rPr>
        <w:t>中山大学</w:t>
      </w:r>
    </w:p>
    <w:p w14:paraId="5325F67F">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31F8EF3">
      <w:pPr>
        <w:spacing w:line="1480" w:lineRule="exact"/>
        <w:jc w:val="center"/>
        <w:rPr>
          <w:sz w:val="52"/>
        </w:rPr>
      </w:pPr>
    </w:p>
    <w:p w14:paraId="528844E5">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41AD5E3">
      <w:pPr>
        <w:spacing w:line="480" w:lineRule="exact"/>
        <w:ind w:firstLine="2127" w:firstLineChars="709"/>
        <w:rPr>
          <w:rFonts w:eastAsia="黑体"/>
          <w:sz w:val="30"/>
          <w:u w:val="single"/>
        </w:rPr>
      </w:pPr>
    </w:p>
    <w:p w14:paraId="1FF91B22">
      <w:pPr>
        <w:spacing w:line="480" w:lineRule="exact"/>
        <w:ind w:firstLine="2127" w:firstLineChars="709"/>
        <w:rPr>
          <w:sz w:val="30"/>
          <w:u w:val="single"/>
        </w:rPr>
      </w:pPr>
      <w:r>
        <w:rPr>
          <w:rFonts w:eastAsia="黑体"/>
          <w:sz w:val="30"/>
        </w:rPr>
        <w:t>课程名称</w:t>
      </w:r>
      <w:r>
        <w:rPr>
          <w:rFonts w:eastAsia="黑体"/>
          <w:sz w:val="30"/>
          <w:u w:val="single"/>
        </w:rPr>
        <w:t xml:space="preserve"> 文献计量学</w:t>
      </w:r>
    </w:p>
    <w:p w14:paraId="5B136B79">
      <w:pPr>
        <w:spacing w:line="900" w:lineRule="exact"/>
        <w:ind w:firstLine="3600" w:firstLineChars="1200"/>
        <w:rPr>
          <w:sz w:val="30"/>
        </w:rPr>
      </w:pPr>
    </w:p>
    <w:p w14:paraId="70C66EC6">
      <w:pPr>
        <w:spacing w:line="900" w:lineRule="exact"/>
        <w:jc w:val="center"/>
        <w:rPr>
          <w:rFonts w:eastAsia="仿宋_GB2312"/>
          <w:b/>
          <w:bCs/>
          <w:kern w:val="28"/>
          <w:sz w:val="32"/>
          <w:szCs w:val="32"/>
        </w:rPr>
      </w:pPr>
    </w:p>
    <w:p w14:paraId="16CEF782">
      <w:pPr>
        <w:spacing w:line="900" w:lineRule="exact"/>
        <w:jc w:val="center"/>
        <w:rPr>
          <w:rFonts w:eastAsia="仿宋_GB2312"/>
          <w:b/>
          <w:bCs/>
          <w:kern w:val="28"/>
          <w:sz w:val="32"/>
          <w:szCs w:val="32"/>
        </w:rPr>
      </w:pPr>
    </w:p>
    <w:p w14:paraId="1FF8F711">
      <w:pPr>
        <w:spacing w:line="900" w:lineRule="exact"/>
        <w:jc w:val="center"/>
        <w:rPr>
          <w:rFonts w:eastAsia="仿宋_GB2312"/>
          <w:b/>
          <w:bCs/>
          <w:kern w:val="28"/>
          <w:sz w:val="32"/>
          <w:szCs w:val="32"/>
        </w:rPr>
      </w:pPr>
    </w:p>
    <w:p w14:paraId="413E8173">
      <w:pPr>
        <w:spacing w:line="900" w:lineRule="exact"/>
        <w:jc w:val="center"/>
        <w:rPr>
          <w:rFonts w:eastAsia="仿宋_GB2312"/>
          <w:b/>
          <w:bCs/>
          <w:kern w:val="28"/>
          <w:sz w:val="32"/>
          <w:szCs w:val="32"/>
        </w:rPr>
      </w:pPr>
    </w:p>
    <w:p w14:paraId="5665695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30AE1C03">
      <w:pPr>
        <w:spacing w:line="900" w:lineRule="exact"/>
        <w:jc w:val="center"/>
        <w:rPr>
          <w:rFonts w:ascii="仿宋_GB2312" w:hAnsi="仿宋_GB2312" w:eastAsia="仿宋_GB2312" w:cs="仿宋_GB2312"/>
          <w:b/>
          <w:bCs/>
          <w:kern w:val="28"/>
          <w:sz w:val="32"/>
          <w:szCs w:val="32"/>
        </w:rPr>
      </w:pPr>
    </w:p>
    <w:p w14:paraId="2DD90BEA">
      <w:pPr>
        <w:spacing w:line="900" w:lineRule="exact"/>
        <w:jc w:val="center"/>
        <w:rPr>
          <w:rFonts w:hint="eastAsia" w:ascii="仿宋_GB2312" w:hAnsi="仿宋_GB2312" w:eastAsia="仿宋_GB2312" w:cs="仿宋_GB2312"/>
          <w:b/>
          <w:bCs/>
          <w:kern w:val="28"/>
          <w:sz w:val="32"/>
          <w:szCs w:val="32"/>
        </w:rPr>
      </w:pPr>
    </w:p>
    <w:p w14:paraId="14F8AFA9">
      <w:pPr>
        <w:spacing w:line="900" w:lineRule="exact"/>
        <w:jc w:val="center"/>
        <w:rPr>
          <w:rFonts w:hint="eastAsia" w:eastAsia="仿宋_GB2312"/>
          <w:b/>
          <w:bCs/>
          <w:kern w:val="28"/>
          <w:sz w:val="32"/>
          <w:szCs w:val="32"/>
        </w:rPr>
      </w:pPr>
    </w:p>
    <w:p w14:paraId="0EB86BA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376F45B">
      <w:pPr>
        <w:pStyle w:val="2"/>
        <w:spacing w:line="480" w:lineRule="exact"/>
        <w:ind w:firstLine="0" w:firstLineChars="0"/>
        <w:jc w:val="center"/>
        <w:rPr>
          <w:rFonts w:eastAsia="宋体"/>
          <w:sz w:val="24"/>
        </w:rPr>
      </w:pPr>
      <w:r>
        <w:rPr>
          <w:rFonts w:eastAsia="宋体"/>
          <w:sz w:val="24"/>
        </w:rPr>
        <w:t>（编写日期：2025年06月）</w:t>
      </w:r>
    </w:p>
    <w:p w14:paraId="37C2A165">
      <w:pPr>
        <w:pStyle w:val="2"/>
        <w:spacing w:line="480" w:lineRule="exact"/>
        <w:ind w:firstLine="0" w:firstLineChars="0"/>
        <w:jc w:val="center"/>
        <w:rPr>
          <w:rFonts w:eastAsia="宋体"/>
          <w:sz w:val="24"/>
        </w:rPr>
      </w:pPr>
    </w:p>
    <w:p w14:paraId="20DFF62B">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7AC0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316BDBC">
            <w:pPr>
              <w:pStyle w:val="2"/>
              <w:spacing w:line="480" w:lineRule="exact"/>
              <w:ind w:firstLine="0" w:firstLineChars="0"/>
              <w:jc w:val="center"/>
              <w:rPr>
                <w:rFonts w:eastAsia="宋体"/>
                <w:sz w:val="24"/>
              </w:rPr>
            </w:pPr>
          </w:p>
          <w:p w14:paraId="41CE73E1">
            <w:pPr>
              <w:pStyle w:val="2"/>
              <w:adjustRightInd w:val="0"/>
              <w:snapToGrid w:val="0"/>
              <w:ind w:firstLine="0" w:firstLineChars="0"/>
              <w:jc w:val="center"/>
              <w:rPr>
                <w:rFonts w:eastAsia="宋体"/>
                <w:sz w:val="24"/>
                <w:lang w:val="en-US" w:eastAsia="zh-CN"/>
              </w:rPr>
            </w:pPr>
            <w:r>
              <w:rPr>
                <w:rFonts w:eastAsia="宋体"/>
                <w:sz w:val="24"/>
                <w:lang w:val="en-US" w:eastAsia="zh-CN"/>
              </w:rPr>
              <w:t>文献计量学</w:t>
            </w:r>
          </w:p>
          <w:p w14:paraId="4400583F">
            <w:pPr>
              <w:pStyle w:val="2"/>
              <w:adjustRightInd w:val="0"/>
              <w:snapToGrid w:val="0"/>
              <w:ind w:firstLine="0" w:firstLineChars="0"/>
              <w:jc w:val="center"/>
              <w:rPr>
                <w:rFonts w:eastAsia="宋体"/>
                <w:sz w:val="24"/>
                <w:lang w:val="en-US" w:eastAsia="zh-CN"/>
              </w:rPr>
            </w:pPr>
            <w:r>
              <w:rPr>
                <w:rFonts w:eastAsia="宋体"/>
                <w:sz w:val="24"/>
                <w:lang w:val="en-US" w:eastAsia="zh-CN"/>
              </w:rPr>
              <w:t>Bibliometrics</w:t>
            </w:r>
          </w:p>
          <w:p w14:paraId="3BF7879B">
            <w:pPr>
              <w:pStyle w:val="2"/>
              <w:spacing w:line="480" w:lineRule="exact"/>
              <w:ind w:firstLine="0" w:firstLineChars="0"/>
              <w:jc w:val="center"/>
              <w:rPr>
                <w:rFonts w:eastAsia="宋体"/>
                <w:sz w:val="24"/>
              </w:rPr>
            </w:pPr>
          </w:p>
        </w:tc>
      </w:tr>
      <w:tr w14:paraId="1CA1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573AE793">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138969B">
            <w:pPr>
              <w:jc w:val="center"/>
              <w:rPr>
                <w:sz w:val="24"/>
              </w:rPr>
            </w:pPr>
            <w:r>
              <w:rPr>
                <w:rFonts w:hint="eastAsia" w:eastAsia="宋体"/>
                <w:sz w:val="24"/>
                <w:lang w:val="en-US" w:eastAsia="zh-CN"/>
              </w:rPr>
              <w:t>专选</w:t>
            </w:r>
          </w:p>
        </w:tc>
        <w:tc>
          <w:tcPr>
            <w:tcW w:w="1598" w:type="dxa"/>
            <w:vAlign w:val="center"/>
          </w:tcPr>
          <w:p w14:paraId="7A9AA617">
            <w:pPr>
              <w:rPr>
                <w:sz w:val="24"/>
              </w:rPr>
            </w:pPr>
            <w:r>
              <w:rPr>
                <w:sz w:val="24"/>
              </w:rPr>
              <w:t>课程编码</w:t>
            </w:r>
          </w:p>
        </w:tc>
        <w:tc>
          <w:tcPr>
            <w:tcW w:w="1435" w:type="dxa"/>
            <w:vAlign w:val="center"/>
          </w:tcPr>
          <w:p w14:paraId="3D98EF86">
            <w:pPr>
              <w:jc w:val="center"/>
              <w:rPr>
                <w:sz w:val="24"/>
              </w:rPr>
            </w:pPr>
            <w:r>
              <w:rPr>
                <w:sz w:val="24"/>
              </w:rPr>
              <w:t>IM210</w:t>
            </w:r>
          </w:p>
        </w:tc>
        <w:tc>
          <w:tcPr>
            <w:tcW w:w="1400" w:type="dxa"/>
            <w:vAlign w:val="center"/>
          </w:tcPr>
          <w:p w14:paraId="6A0E38DF">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565D625D">
            <w:pPr>
              <w:jc w:val="center"/>
              <w:rPr>
                <w:sz w:val="24"/>
              </w:rPr>
            </w:pPr>
            <w:r>
              <w:rPr>
                <w:rFonts w:eastAsia="宋体"/>
                <w:sz w:val="24"/>
                <w:lang w:val="en-US" w:eastAsia="zh-CN"/>
              </w:rPr>
              <w:t>信息管理学院</w:t>
            </w:r>
          </w:p>
        </w:tc>
      </w:tr>
      <w:tr w14:paraId="046E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3B0DBB1">
            <w:pPr>
              <w:jc w:val="center"/>
              <w:rPr>
                <w:sz w:val="24"/>
              </w:rPr>
            </w:pPr>
            <w:r>
              <w:rPr>
                <w:sz w:val="24"/>
              </w:rPr>
              <w:t>学分</w:t>
            </w:r>
          </w:p>
        </w:tc>
        <w:tc>
          <w:tcPr>
            <w:tcW w:w="1379" w:type="dxa"/>
            <w:vAlign w:val="center"/>
          </w:tcPr>
          <w:p w14:paraId="0A730BE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60D573D8">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85F5B0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34427BF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6E00A4C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2AB8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797E0916">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116B05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Science,图书馆学Library Science</w:t>
            </w:r>
          </w:p>
        </w:tc>
      </w:tr>
      <w:tr w14:paraId="0140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67F60E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727209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侯剑华</w:t>
            </w:r>
          </w:p>
        </w:tc>
      </w:tr>
      <w:tr w14:paraId="4965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8BEAE2A">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ABFB9DA">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信息管理学基础</w:t>
            </w:r>
          </w:p>
        </w:tc>
      </w:tr>
      <w:tr w14:paraId="5B85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615600B7">
            <w:pPr>
              <w:pStyle w:val="2"/>
              <w:spacing w:line="480" w:lineRule="exact"/>
              <w:ind w:firstLine="0" w:firstLineChars="0"/>
              <w:jc w:val="center"/>
              <w:rPr>
                <w:rFonts w:eastAsia="宋体"/>
                <w:sz w:val="24"/>
                <w:lang w:val="en-US" w:eastAsia="zh-CN"/>
              </w:rPr>
            </w:pPr>
          </w:p>
          <w:p w14:paraId="17D05F6E">
            <w:pPr>
              <w:pStyle w:val="2"/>
              <w:spacing w:line="480" w:lineRule="exact"/>
              <w:ind w:firstLine="0" w:firstLineChars="0"/>
              <w:jc w:val="center"/>
              <w:rPr>
                <w:rFonts w:eastAsia="宋体"/>
                <w:sz w:val="24"/>
                <w:lang w:val="en-US" w:eastAsia="zh-CN"/>
              </w:rPr>
            </w:pPr>
          </w:p>
          <w:p w14:paraId="631399DC">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53E5D74">
            <w:pPr>
              <w:pStyle w:val="2"/>
              <w:spacing w:line="480" w:lineRule="exact"/>
              <w:ind w:firstLine="0" w:firstLineChars="0"/>
              <w:jc w:val="center"/>
              <w:rPr>
                <w:rFonts w:eastAsia="宋体"/>
                <w:sz w:val="24"/>
                <w:lang w:val="en-US" w:eastAsia="zh-CN"/>
              </w:rPr>
            </w:pPr>
          </w:p>
          <w:p w14:paraId="5C5E1F02">
            <w:pPr>
              <w:pStyle w:val="2"/>
              <w:spacing w:line="480" w:lineRule="exact"/>
              <w:ind w:firstLine="0" w:firstLineChars="0"/>
              <w:jc w:val="center"/>
              <w:rPr>
                <w:rFonts w:eastAsia="宋体"/>
                <w:sz w:val="24"/>
                <w:lang w:val="en-US" w:eastAsia="zh-CN"/>
              </w:rPr>
            </w:pPr>
          </w:p>
        </w:tc>
        <w:tc>
          <w:tcPr>
            <w:tcW w:w="7157" w:type="dxa"/>
            <w:gridSpan w:val="5"/>
            <w:vAlign w:val="center"/>
          </w:tcPr>
          <w:p w14:paraId="0CE68AF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文献计量学是图书情报与档案管理领域的一门重要学科。通过这门课程的教学，帮助学生树立从定量的角度分析研究文献信息分布和变化规律的意识，并初步掌握对科学技术文献的各种外部和内部特征进行统计分析的基本程序和基本方法，以及在图书情报工作、信息管理、信息服务、科学评价、科技管理等实践领域的应用。同时，通过本课程的学习，建立对科学发展客观规律的正确认知，提高思想政治水平。</w:t>
            </w:r>
          </w:p>
          <w:p w14:paraId="34CA45B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本课程的具体要求包括：</w:t>
            </w:r>
          </w:p>
          <w:p w14:paraId="4125601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（1）牢固掌握文献计量学的发展历程、基本概念、研究对象、研究内容、应用领域等基本问题；</w:t>
            </w:r>
          </w:p>
          <w:p w14:paraId="08CD68D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（2）牢固掌握文献计量学的基本定律，包括“文献信息增长规律”、“文献信息老化规律”、“布拉德福定律”、“齐普夫定律”、“洛特卡定律”、“文献信息引证规律”等；</w:t>
            </w:r>
          </w:p>
          <w:p w14:paraId="29F5F1C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（3）一般掌握布拉德福分析方法、引文分析法等文献计量学的基本方法；</w:t>
            </w:r>
          </w:p>
          <w:p w14:paraId="6E91E5D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（4）一般了解文献计量学的新发展和新问题；</w:t>
            </w:r>
          </w:p>
          <w:p w14:paraId="14873D1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（5）一般了解开展文献计量学研究的过程，具备初步的实际应用能力。</w:t>
            </w:r>
          </w:p>
          <w:p w14:paraId="116110DE">
            <w:pPr>
              <w:pStyle w:val="2"/>
              <w:ind w:firstLine="0" w:firstLineChars="0"/>
              <w:jc w:val="left"/>
              <w:rPr>
                <w:rFonts w:ascii="宋体" w:hAnsi="宋体" w:eastAsia="宋体"/>
                <w:sz w:val="24"/>
                <w:lang w:val="en-US" w:eastAsia="zh-CN"/>
              </w:rPr>
            </w:pPr>
          </w:p>
        </w:tc>
      </w:tr>
    </w:tbl>
    <w:p w14:paraId="111AF329">
      <w:pPr>
        <w:spacing w:line="480" w:lineRule="exact"/>
        <w:ind w:firstLine="480" w:firstLineChars="200"/>
        <w:rPr>
          <w:sz w:val="24"/>
        </w:rPr>
      </w:pPr>
    </w:p>
    <w:p w14:paraId="737BC79E">
      <w:pPr>
        <w:spacing w:line="480" w:lineRule="exact"/>
        <w:ind w:firstLine="480" w:firstLineChars="200"/>
        <w:rPr>
          <w:sz w:val="24"/>
        </w:rPr>
      </w:pPr>
      <w:r>
        <w:rPr>
          <w:sz w:val="24"/>
        </w:rPr>
        <w:t>二、课程基本内容（要求有一定的字数，不能过于简单）</w:t>
      </w:r>
    </w:p>
    <w:p w14:paraId="1AE0C7F5">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581"/>
        <w:gridCol w:w="1582"/>
        <w:gridCol w:w="756"/>
        <w:gridCol w:w="1582"/>
        <w:gridCol w:w="1582"/>
        <w:gridCol w:w="596"/>
        <w:gridCol w:w="756"/>
      </w:tblGrid>
      <w:tr w14:paraId="2FA355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1945FBC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7A80BD3">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20668CB6">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63B6785">
            <w:pPr>
              <w:jc w:val="center"/>
              <w:rPr>
                <w:rFonts w:hint="eastAsia"/>
                <w:b/>
                <w:bCs/>
                <w:sz w:val="24"/>
                <w:szCs w:val="20"/>
              </w:rPr>
            </w:pPr>
            <w:r>
              <w:rPr>
                <w:rFonts w:hint="eastAsia" w:ascii="24x12 宋体"/>
                <w:b/>
                <w:bCs/>
                <w:sz w:val="24"/>
                <w:szCs w:val="20"/>
              </w:rPr>
              <w:t>育人元素</w:t>
            </w:r>
          </w:p>
        </w:tc>
        <w:tc>
          <w:tcPr>
            <w:tcW w:w="1920" w:type="dxa"/>
            <w:vAlign w:val="center"/>
          </w:tcPr>
          <w:p w14:paraId="09C9FB52">
            <w:pPr>
              <w:jc w:val="center"/>
              <w:rPr>
                <w:rFonts w:hint="eastAsia"/>
                <w:b/>
                <w:bCs/>
                <w:sz w:val="24"/>
                <w:szCs w:val="20"/>
              </w:rPr>
            </w:pPr>
            <w:r>
              <w:rPr>
                <w:rFonts w:hint="eastAsia" w:ascii="24x12 宋体"/>
                <w:b/>
                <w:bCs/>
                <w:sz w:val="24"/>
                <w:szCs w:val="20"/>
              </w:rPr>
              <w:t>重点、难点(选填)</w:t>
            </w:r>
          </w:p>
        </w:tc>
        <w:tc>
          <w:tcPr>
            <w:tcW w:w="1419" w:type="dxa"/>
            <w:vAlign w:val="center"/>
          </w:tcPr>
          <w:p w14:paraId="4C5B9601">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0F2FBEC">
            <w:pPr>
              <w:jc w:val="center"/>
              <w:rPr>
                <w:rFonts w:hint="eastAsia"/>
                <w:b/>
                <w:bCs/>
                <w:sz w:val="24"/>
                <w:szCs w:val="20"/>
              </w:rPr>
            </w:pPr>
            <w:r>
              <w:rPr>
                <w:rFonts w:hint="eastAsia" w:ascii="24x12 宋体"/>
                <w:b/>
                <w:bCs/>
                <w:sz w:val="24"/>
                <w:szCs w:val="20"/>
              </w:rPr>
              <w:t>备注(选填)</w:t>
            </w:r>
          </w:p>
        </w:tc>
      </w:tr>
      <w:tr w14:paraId="645C0F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A91161">
            <w:pPr>
              <w:rPr>
                <w:rFonts w:ascii="宋体" w:hAnsi="宋体" w:eastAsia="宋体"/>
                <w:sz w:val="24"/>
                <w:szCs w:val="24"/>
              </w:rPr>
            </w:pPr>
            <w:r>
              <w:rPr>
                <w:rFonts w:hint="eastAsia" w:ascii="宋体" w:hAnsi="宋体" w:eastAsia="宋体"/>
                <w:sz w:val="24"/>
                <w:szCs w:val="24"/>
              </w:rPr>
              <w:t>第一章  绪论</w:t>
            </w:r>
          </w:p>
          <w:p w14:paraId="6421C9DC">
            <w:pPr>
              <w:rPr>
                <w:rFonts w:ascii="宋体" w:hAnsi="宋体" w:eastAsia="宋体"/>
                <w:sz w:val="24"/>
                <w:szCs w:val="24"/>
              </w:rPr>
            </w:pPr>
            <w:r>
              <w:rPr>
                <w:rFonts w:hint="eastAsia" w:ascii="宋体" w:hAnsi="宋体" w:eastAsia="宋体"/>
                <w:sz w:val="24"/>
                <w:szCs w:val="24"/>
              </w:rPr>
              <w:t>第一节 文献计量学的产生背景；</w:t>
            </w:r>
          </w:p>
          <w:p w14:paraId="28218ACF">
            <w:pPr>
              <w:rPr>
                <w:rFonts w:ascii="宋体" w:hAnsi="宋体" w:eastAsia="宋体"/>
                <w:sz w:val="24"/>
                <w:szCs w:val="24"/>
              </w:rPr>
            </w:pPr>
            <w:r>
              <w:rPr>
                <w:rFonts w:hint="eastAsia" w:ascii="宋体" w:hAnsi="宋体" w:eastAsia="宋体"/>
                <w:sz w:val="24"/>
                <w:szCs w:val="24"/>
              </w:rPr>
              <w:t>第二节 文献计量学的发展历程</w:t>
            </w:r>
          </w:p>
        </w:tc>
        <w:tc>
          <w:tcPr>
            <w:tcW w:w="5096" w:type="dxa"/>
            <w:vAlign w:val="center"/>
          </w:tcPr>
          <w:p w14:paraId="1178652D">
            <w:pPr>
              <w:rPr>
                <w:rFonts w:ascii="宋体" w:hAnsi="宋体" w:eastAsia="宋体"/>
                <w:sz w:val="24"/>
                <w:szCs w:val="24"/>
              </w:rPr>
            </w:pPr>
            <w:r>
              <w:rPr>
                <w:rFonts w:hint="eastAsia" w:ascii="宋体" w:hAnsi="宋体" w:eastAsia="宋体"/>
                <w:sz w:val="24"/>
                <w:szCs w:val="24"/>
              </w:rPr>
              <w:t>文献与文献计量学的界定；</w:t>
            </w:r>
          </w:p>
          <w:p w14:paraId="2D32DC5E">
            <w:pPr>
              <w:rPr>
                <w:rFonts w:ascii="宋体" w:hAnsi="宋体" w:eastAsia="宋体"/>
                <w:sz w:val="24"/>
                <w:szCs w:val="24"/>
              </w:rPr>
            </w:pPr>
            <w:r>
              <w:rPr>
                <w:rFonts w:hint="eastAsia" w:ascii="宋体" w:hAnsi="宋体" w:eastAsia="宋体"/>
                <w:sz w:val="24"/>
                <w:szCs w:val="24"/>
              </w:rPr>
              <w:t>文献计量学的演化历程；</w:t>
            </w:r>
          </w:p>
          <w:p w14:paraId="23B3E862">
            <w:pPr>
              <w:rPr>
                <w:rFonts w:ascii="宋体" w:hAnsi="宋体" w:eastAsia="宋体"/>
                <w:sz w:val="24"/>
                <w:szCs w:val="24"/>
              </w:rPr>
            </w:pPr>
            <w:r>
              <w:rPr>
                <w:rFonts w:hint="eastAsia" w:ascii="宋体" w:hAnsi="宋体" w:eastAsia="宋体"/>
                <w:sz w:val="24"/>
                <w:szCs w:val="24"/>
              </w:rPr>
              <w:t>学习文献计量学的实践意义；</w:t>
            </w:r>
          </w:p>
        </w:tc>
        <w:tc>
          <w:tcPr>
            <w:tcW w:w="5096" w:type="dxa"/>
            <w:vAlign w:val="center"/>
          </w:tcPr>
          <w:p w14:paraId="41CFC1E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EEC3F5F">
            <w:pPr>
              <w:rPr>
                <w:rFonts w:ascii="宋体" w:hAnsi="宋体" w:eastAsia="宋体"/>
                <w:sz w:val="24"/>
                <w:szCs w:val="24"/>
              </w:rPr>
            </w:pPr>
            <w:r>
              <w:rPr>
                <w:rFonts w:hint="eastAsia" w:ascii="宋体" w:hAnsi="宋体" w:eastAsia="宋体"/>
                <w:sz w:val="24"/>
                <w:szCs w:val="24"/>
              </w:rPr>
              <w:t>通过对文献计量学产生背景的学习，分析科技发展的过程以及所带来的启示。特别是在数智驱动时代，如何看待AI技术在科学研究中的应用</w:t>
            </w:r>
          </w:p>
        </w:tc>
        <w:tc>
          <w:tcPr>
            <w:tcW w:w="5096" w:type="dxa"/>
            <w:vAlign w:val="center"/>
          </w:tcPr>
          <w:p w14:paraId="74F8A544">
            <w:pPr>
              <w:rPr>
                <w:rFonts w:ascii="宋体" w:hAnsi="宋体" w:eastAsia="宋体"/>
                <w:sz w:val="24"/>
                <w:szCs w:val="24"/>
              </w:rPr>
            </w:pPr>
            <w:r>
              <w:rPr>
                <w:rFonts w:hint="eastAsia" w:ascii="宋体" w:hAnsi="宋体" w:eastAsia="宋体"/>
                <w:sz w:val="24"/>
                <w:szCs w:val="24"/>
              </w:rPr>
              <w:t>重点：文献计量学的界定；</w:t>
            </w:r>
          </w:p>
          <w:p w14:paraId="4989C76F">
            <w:pPr>
              <w:rPr>
                <w:rFonts w:ascii="宋体" w:hAnsi="宋体" w:eastAsia="宋体"/>
                <w:sz w:val="24"/>
                <w:szCs w:val="24"/>
              </w:rPr>
            </w:pPr>
            <w:r>
              <w:rPr>
                <w:rFonts w:hint="eastAsia" w:ascii="宋体" w:hAnsi="宋体" w:eastAsia="宋体"/>
                <w:sz w:val="24"/>
                <w:szCs w:val="24"/>
              </w:rPr>
              <w:t>难点：社会实践需要是文献计量学产生和发展的根本动力。</w:t>
            </w:r>
          </w:p>
        </w:tc>
        <w:tc>
          <w:tcPr>
            <w:tcW w:w="1555" w:type="dxa"/>
            <w:vAlign w:val="center"/>
          </w:tcPr>
          <w:p w14:paraId="7C88D73E">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DC37280">
            <w:pPr>
              <w:rPr>
                <w:rFonts w:ascii="宋体" w:hAnsi="宋体" w:eastAsia="宋体"/>
                <w:sz w:val="24"/>
                <w:szCs w:val="24"/>
              </w:rPr>
            </w:pPr>
          </w:p>
        </w:tc>
      </w:tr>
      <w:tr w14:paraId="4767FF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B21C03A">
            <w:pPr>
              <w:rPr>
                <w:rFonts w:ascii="宋体" w:hAnsi="宋体" w:eastAsia="宋体"/>
                <w:sz w:val="24"/>
                <w:szCs w:val="24"/>
              </w:rPr>
            </w:pPr>
            <w:r>
              <w:rPr>
                <w:rFonts w:hint="eastAsia" w:ascii="宋体" w:hAnsi="宋体" w:eastAsia="宋体"/>
                <w:sz w:val="24"/>
                <w:szCs w:val="24"/>
              </w:rPr>
              <w:t>第一章 绪论</w:t>
            </w:r>
          </w:p>
          <w:p w14:paraId="2749EBCF">
            <w:pPr>
              <w:rPr>
                <w:rFonts w:ascii="宋体" w:hAnsi="宋体" w:eastAsia="宋体"/>
                <w:sz w:val="24"/>
                <w:szCs w:val="24"/>
              </w:rPr>
            </w:pPr>
            <w:r>
              <w:rPr>
                <w:rFonts w:hint="eastAsia" w:ascii="宋体" w:hAnsi="宋体" w:eastAsia="宋体"/>
                <w:sz w:val="24"/>
                <w:szCs w:val="24"/>
              </w:rPr>
              <w:t>第一节 文献计量学的研究对象和内容、研究目的；</w:t>
            </w:r>
          </w:p>
          <w:p w14:paraId="243A2522">
            <w:pPr>
              <w:rPr>
                <w:rFonts w:ascii="宋体" w:hAnsi="宋体" w:eastAsia="宋体"/>
                <w:sz w:val="24"/>
                <w:szCs w:val="24"/>
              </w:rPr>
            </w:pPr>
            <w:r>
              <w:rPr>
                <w:rFonts w:hint="eastAsia" w:ascii="宋体" w:hAnsi="宋体" w:eastAsia="宋体"/>
                <w:sz w:val="24"/>
                <w:szCs w:val="24"/>
              </w:rPr>
              <w:t>第二节 文献计量学与其他学科的关系；</w:t>
            </w:r>
          </w:p>
          <w:p w14:paraId="1931AF54">
            <w:pPr>
              <w:rPr>
                <w:rFonts w:ascii="宋体" w:hAnsi="宋体" w:eastAsia="宋体"/>
                <w:sz w:val="24"/>
                <w:szCs w:val="24"/>
              </w:rPr>
            </w:pPr>
            <w:r>
              <w:rPr>
                <w:rFonts w:hint="eastAsia" w:ascii="宋体" w:hAnsi="宋体" w:eastAsia="宋体"/>
                <w:sz w:val="24"/>
                <w:szCs w:val="24"/>
              </w:rPr>
              <w:t>第三节 “五计学”的相互关系等。</w:t>
            </w:r>
          </w:p>
        </w:tc>
        <w:tc>
          <w:tcPr>
            <w:tcW w:w="5096" w:type="dxa"/>
            <w:vAlign w:val="center"/>
          </w:tcPr>
          <w:p w14:paraId="68407780">
            <w:pPr>
              <w:rPr>
                <w:rFonts w:ascii="宋体" w:hAnsi="宋体" w:eastAsia="宋体"/>
                <w:sz w:val="24"/>
                <w:szCs w:val="24"/>
              </w:rPr>
            </w:pPr>
            <w:r>
              <w:rPr>
                <w:rFonts w:hint="eastAsia" w:ascii="宋体" w:hAnsi="宋体" w:eastAsia="宋体"/>
                <w:sz w:val="24"/>
                <w:szCs w:val="24"/>
              </w:rPr>
              <w:t>文献计量学的研究对象；</w:t>
            </w:r>
          </w:p>
          <w:p w14:paraId="43BCD579">
            <w:pPr>
              <w:rPr>
                <w:rFonts w:ascii="宋体" w:hAnsi="宋体" w:eastAsia="宋体"/>
                <w:sz w:val="24"/>
                <w:szCs w:val="24"/>
              </w:rPr>
            </w:pPr>
            <w:r>
              <w:rPr>
                <w:rFonts w:hint="eastAsia" w:ascii="宋体" w:hAnsi="宋体" w:eastAsia="宋体"/>
                <w:sz w:val="24"/>
                <w:szCs w:val="24"/>
              </w:rPr>
              <w:t>文献计量学的学科定位；</w:t>
            </w:r>
          </w:p>
          <w:p w14:paraId="13876234">
            <w:pPr>
              <w:rPr>
                <w:rFonts w:ascii="宋体" w:hAnsi="宋体" w:eastAsia="宋体"/>
                <w:sz w:val="24"/>
                <w:szCs w:val="24"/>
              </w:rPr>
            </w:pPr>
          </w:p>
        </w:tc>
        <w:tc>
          <w:tcPr>
            <w:tcW w:w="5096" w:type="dxa"/>
            <w:vAlign w:val="center"/>
          </w:tcPr>
          <w:p w14:paraId="196FAB3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8129A11">
            <w:pPr>
              <w:rPr>
                <w:rFonts w:ascii="宋体" w:hAnsi="宋体" w:eastAsia="宋体"/>
                <w:sz w:val="24"/>
                <w:szCs w:val="24"/>
              </w:rPr>
            </w:pPr>
            <w:r>
              <w:rPr>
                <w:rFonts w:hint="eastAsia" w:ascii="宋体" w:hAnsi="宋体" w:eastAsia="宋体"/>
                <w:sz w:val="24"/>
                <w:szCs w:val="24"/>
              </w:rPr>
              <w:t>通过“五计学”对我国图书情报学科发展的作用融入自主知识体系建设和制度自信。</w:t>
            </w:r>
          </w:p>
        </w:tc>
        <w:tc>
          <w:tcPr>
            <w:tcW w:w="5096" w:type="dxa"/>
            <w:vAlign w:val="center"/>
          </w:tcPr>
          <w:p w14:paraId="4FB21BB8">
            <w:pPr>
              <w:rPr>
                <w:rFonts w:ascii="宋体" w:hAnsi="宋体" w:eastAsia="宋体"/>
                <w:sz w:val="24"/>
                <w:szCs w:val="24"/>
              </w:rPr>
            </w:pPr>
            <w:r>
              <w:rPr>
                <w:rFonts w:hint="eastAsia" w:ascii="宋体" w:hAnsi="宋体" w:eastAsia="宋体"/>
                <w:sz w:val="24"/>
                <w:szCs w:val="24"/>
              </w:rPr>
              <w:t>重点：文献计量学的研究对象；</w:t>
            </w:r>
          </w:p>
          <w:p w14:paraId="479B068F">
            <w:pPr>
              <w:rPr>
                <w:rFonts w:ascii="宋体" w:hAnsi="宋体" w:eastAsia="宋体"/>
                <w:sz w:val="24"/>
                <w:szCs w:val="24"/>
              </w:rPr>
            </w:pPr>
            <w:r>
              <w:rPr>
                <w:rFonts w:hint="eastAsia" w:ascii="宋体" w:hAnsi="宋体" w:eastAsia="宋体"/>
                <w:sz w:val="24"/>
                <w:szCs w:val="24"/>
              </w:rPr>
              <w:t>难点：“五计学”之间的关系</w:t>
            </w:r>
          </w:p>
        </w:tc>
        <w:tc>
          <w:tcPr>
            <w:tcW w:w="1555" w:type="dxa"/>
            <w:vAlign w:val="center"/>
          </w:tcPr>
          <w:p w14:paraId="18B14672">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73E058F2">
            <w:pPr>
              <w:rPr>
                <w:rFonts w:ascii="宋体" w:hAnsi="宋体" w:eastAsia="宋体"/>
                <w:sz w:val="24"/>
                <w:szCs w:val="24"/>
              </w:rPr>
            </w:pPr>
          </w:p>
        </w:tc>
      </w:tr>
      <w:tr w14:paraId="4BF79B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2D0419">
            <w:pPr>
              <w:rPr>
                <w:rFonts w:ascii="宋体" w:hAnsi="宋体" w:eastAsia="宋体"/>
                <w:sz w:val="24"/>
                <w:szCs w:val="24"/>
              </w:rPr>
            </w:pPr>
            <w:r>
              <w:rPr>
                <w:rFonts w:hint="eastAsia" w:ascii="宋体" w:hAnsi="宋体" w:eastAsia="宋体"/>
                <w:sz w:val="24"/>
                <w:szCs w:val="24"/>
              </w:rPr>
              <w:t>第二章  文献信息增长规律</w:t>
            </w:r>
          </w:p>
          <w:p w14:paraId="4E8377B9">
            <w:pPr>
              <w:rPr>
                <w:rFonts w:ascii="宋体" w:hAnsi="宋体" w:eastAsia="宋体"/>
                <w:sz w:val="24"/>
                <w:szCs w:val="24"/>
              </w:rPr>
            </w:pPr>
            <w:r>
              <w:rPr>
                <w:rFonts w:hint="eastAsia" w:ascii="宋体" w:hAnsi="宋体" w:eastAsia="宋体"/>
                <w:sz w:val="24"/>
                <w:szCs w:val="24"/>
              </w:rPr>
              <w:t>第一节 文献增长与科学技术发展；</w:t>
            </w:r>
          </w:p>
          <w:p w14:paraId="1003DF6D">
            <w:pPr>
              <w:rPr>
                <w:rFonts w:ascii="宋体" w:hAnsi="宋体" w:eastAsia="宋体"/>
                <w:sz w:val="24"/>
                <w:szCs w:val="24"/>
              </w:rPr>
            </w:pPr>
            <w:r>
              <w:rPr>
                <w:rFonts w:hint="eastAsia" w:ascii="宋体" w:hAnsi="宋体" w:eastAsia="宋体"/>
                <w:sz w:val="24"/>
                <w:szCs w:val="24"/>
              </w:rPr>
              <w:t>第二节 文献增长规律分析；</w:t>
            </w:r>
          </w:p>
          <w:p w14:paraId="2751D9C7">
            <w:pPr>
              <w:rPr>
                <w:rFonts w:ascii="宋体" w:hAnsi="宋体" w:eastAsia="宋体"/>
                <w:sz w:val="24"/>
                <w:szCs w:val="24"/>
              </w:rPr>
            </w:pPr>
            <w:r>
              <w:rPr>
                <w:rFonts w:hint="eastAsia" w:ascii="宋体" w:hAnsi="宋体" w:eastAsia="宋体"/>
                <w:sz w:val="24"/>
                <w:szCs w:val="24"/>
              </w:rPr>
              <w:t>第三节 文献指数增长规律；</w:t>
            </w:r>
          </w:p>
        </w:tc>
        <w:tc>
          <w:tcPr>
            <w:tcW w:w="5096" w:type="dxa"/>
            <w:vAlign w:val="center"/>
          </w:tcPr>
          <w:p w14:paraId="12BE6FA2">
            <w:pPr>
              <w:rPr>
                <w:rFonts w:ascii="宋体" w:hAnsi="宋体" w:eastAsia="宋体"/>
                <w:sz w:val="24"/>
                <w:szCs w:val="24"/>
              </w:rPr>
            </w:pPr>
            <w:r>
              <w:rPr>
                <w:rFonts w:hint="eastAsia" w:ascii="宋体" w:hAnsi="宋体" w:eastAsia="宋体"/>
                <w:sz w:val="24"/>
                <w:szCs w:val="24"/>
              </w:rPr>
              <w:t>文献信息流的特性及增长规律研究的意义。科学知识量的增长与科学文献的增长等。</w:t>
            </w:r>
          </w:p>
        </w:tc>
        <w:tc>
          <w:tcPr>
            <w:tcW w:w="5096" w:type="dxa"/>
            <w:vAlign w:val="center"/>
          </w:tcPr>
          <w:p w14:paraId="2633623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62F9D1C">
            <w:pPr>
              <w:rPr>
                <w:rFonts w:ascii="宋体" w:hAnsi="宋体" w:eastAsia="宋体"/>
                <w:sz w:val="24"/>
                <w:szCs w:val="24"/>
              </w:rPr>
            </w:pPr>
            <w:r>
              <w:rPr>
                <w:rFonts w:hint="eastAsia" w:ascii="宋体" w:hAnsi="宋体" w:eastAsia="宋体"/>
                <w:sz w:val="24"/>
                <w:szCs w:val="24"/>
              </w:rPr>
              <w:t>通过解析我国科学技术文献增长规律，增强学生对我国科技发展水平和科技强国战略的认识，提升学生的制度自信和文化自信。</w:t>
            </w:r>
          </w:p>
        </w:tc>
        <w:tc>
          <w:tcPr>
            <w:tcW w:w="5096" w:type="dxa"/>
            <w:vAlign w:val="center"/>
          </w:tcPr>
          <w:p w14:paraId="5AA5ABB8">
            <w:pPr>
              <w:rPr>
                <w:rFonts w:ascii="宋体" w:hAnsi="宋体" w:eastAsia="宋体"/>
                <w:sz w:val="24"/>
                <w:szCs w:val="24"/>
              </w:rPr>
            </w:pPr>
            <w:r>
              <w:rPr>
                <w:rFonts w:hint="eastAsia" w:ascii="宋体" w:hAnsi="宋体" w:eastAsia="宋体"/>
                <w:sz w:val="24"/>
                <w:szCs w:val="24"/>
              </w:rPr>
              <w:t>重点：文献指数增长规律；</w:t>
            </w:r>
          </w:p>
          <w:p w14:paraId="71B3FB74">
            <w:pPr>
              <w:rPr>
                <w:rFonts w:ascii="宋体" w:hAnsi="宋体" w:eastAsia="宋体"/>
                <w:sz w:val="24"/>
                <w:szCs w:val="24"/>
              </w:rPr>
            </w:pPr>
            <w:r>
              <w:rPr>
                <w:rFonts w:hint="eastAsia" w:ascii="宋体" w:hAnsi="宋体" w:eastAsia="宋体"/>
                <w:sz w:val="24"/>
                <w:szCs w:val="24"/>
              </w:rPr>
              <w:t>难点：文献增长规律的原因分析</w:t>
            </w:r>
          </w:p>
        </w:tc>
        <w:tc>
          <w:tcPr>
            <w:tcW w:w="1555" w:type="dxa"/>
            <w:vAlign w:val="center"/>
          </w:tcPr>
          <w:p w14:paraId="05025F8E">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378DCC15">
            <w:pPr>
              <w:rPr>
                <w:rFonts w:ascii="宋体" w:hAnsi="宋体" w:eastAsia="宋体"/>
                <w:sz w:val="24"/>
                <w:szCs w:val="24"/>
              </w:rPr>
            </w:pPr>
          </w:p>
        </w:tc>
      </w:tr>
      <w:tr w14:paraId="5FD04A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810850">
            <w:pPr>
              <w:rPr>
                <w:rFonts w:ascii="宋体" w:hAnsi="宋体" w:eastAsia="宋体"/>
                <w:sz w:val="24"/>
                <w:szCs w:val="24"/>
              </w:rPr>
            </w:pPr>
            <w:r>
              <w:rPr>
                <w:rFonts w:hint="eastAsia" w:ascii="宋体" w:hAnsi="宋体" w:eastAsia="宋体"/>
                <w:sz w:val="24"/>
                <w:szCs w:val="24"/>
              </w:rPr>
              <w:t>国庆节假期</w:t>
            </w:r>
          </w:p>
        </w:tc>
        <w:tc>
          <w:tcPr>
            <w:tcW w:w="5096" w:type="dxa"/>
            <w:vAlign w:val="center"/>
          </w:tcPr>
          <w:p w14:paraId="47182C4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4679DF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B78556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A4F8CC3">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4E412962">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3FFDBFD0">
            <w:pPr>
              <w:rPr>
                <w:rFonts w:ascii="宋体" w:hAnsi="宋体" w:eastAsia="宋体"/>
                <w:sz w:val="24"/>
                <w:szCs w:val="24"/>
              </w:rPr>
            </w:pPr>
          </w:p>
        </w:tc>
      </w:tr>
      <w:tr w14:paraId="33CC8E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029022">
            <w:pPr>
              <w:rPr>
                <w:rFonts w:ascii="宋体" w:hAnsi="宋体" w:eastAsia="宋体"/>
                <w:sz w:val="24"/>
                <w:szCs w:val="24"/>
              </w:rPr>
            </w:pPr>
            <w:r>
              <w:rPr>
                <w:rFonts w:hint="eastAsia" w:ascii="宋体" w:hAnsi="宋体" w:eastAsia="宋体"/>
                <w:sz w:val="24"/>
                <w:szCs w:val="24"/>
              </w:rPr>
              <w:t>第二章  文献信息增长规律</w:t>
            </w:r>
          </w:p>
          <w:p w14:paraId="4AF85DA3">
            <w:pPr>
              <w:rPr>
                <w:rFonts w:ascii="宋体" w:hAnsi="宋体" w:eastAsia="宋体"/>
                <w:sz w:val="24"/>
                <w:szCs w:val="24"/>
              </w:rPr>
            </w:pPr>
            <w:r>
              <w:rPr>
                <w:rFonts w:hint="eastAsia" w:ascii="宋体" w:hAnsi="宋体" w:eastAsia="宋体"/>
                <w:sz w:val="24"/>
                <w:szCs w:val="24"/>
              </w:rPr>
              <w:t>第一节 文献信息的逻辑增长规律</w:t>
            </w:r>
          </w:p>
          <w:p w14:paraId="0CF36E1C">
            <w:pPr>
              <w:rPr>
                <w:rFonts w:ascii="宋体" w:hAnsi="宋体" w:eastAsia="宋体"/>
                <w:sz w:val="24"/>
                <w:szCs w:val="24"/>
              </w:rPr>
            </w:pPr>
            <w:r>
              <w:rPr>
                <w:rFonts w:hint="eastAsia" w:ascii="宋体" w:hAnsi="宋体" w:eastAsia="宋体"/>
                <w:sz w:val="24"/>
                <w:szCs w:val="24"/>
              </w:rPr>
              <w:t>第二节 文献信息增长机理的分析</w:t>
            </w:r>
          </w:p>
          <w:p w14:paraId="0784FFEC">
            <w:pPr>
              <w:rPr>
                <w:rFonts w:ascii="宋体" w:hAnsi="宋体" w:eastAsia="宋体"/>
                <w:sz w:val="24"/>
                <w:szCs w:val="24"/>
              </w:rPr>
            </w:pPr>
            <w:r>
              <w:rPr>
                <w:rFonts w:hint="eastAsia" w:ascii="宋体" w:hAnsi="宋体" w:eastAsia="宋体"/>
                <w:sz w:val="24"/>
                <w:szCs w:val="24"/>
              </w:rPr>
              <w:t>第三节 文献增长规律的应用等</w:t>
            </w:r>
          </w:p>
        </w:tc>
        <w:tc>
          <w:tcPr>
            <w:tcW w:w="5096" w:type="dxa"/>
            <w:vAlign w:val="center"/>
          </w:tcPr>
          <w:p w14:paraId="77B5BD63">
            <w:pPr>
              <w:rPr>
                <w:rFonts w:ascii="宋体" w:hAnsi="宋体" w:eastAsia="宋体"/>
                <w:sz w:val="24"/>
                <w:szCs w:val="24"/>
              </w:rPr>
            </w:pPr>
            <w:r>
              <w:rPr>
                <w:rFonts w:hint="eastAsia" w:ascii="宋体" w:hAnsi="宋体" w:eastAsia="宋体"/>
                <w:sz w:val="24"/>
                <w:szCs w:val="24"/>
              </w:rPr>
              <w:t>文献信息的逻辑增长规律。文献信息增长机理的分析；文献增长规律的应用等。</w:t>
            </w:r>
          </w:p>
        </w:tc>
        <w:tc>
          <w:tcPr>
            <w:tcW w:w="5096" w:type="dxa"/>
            <w:vAlign w:val="center"/>
          </w:tcPr>
          <w:p w14:paraId="720AEDA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DAB0572">
            <w:pPr>
              <w:rPr>
                <w:rFonts w:ascii="宋体" w:hAnsi="宋体" w:eastAsia="宋体"/>
                <w:sz w:val="24"/>
                <w:szCs w:val="24"/>
              </w:rPr>
            </w:pPr>
            <w:r>
              <w:rPr>
                <w:rFonts w:hint="eastAsia" w:ascii="宋体" w:hAnsi="宋体" w:eastAsia="宋体"/>
                <w:sz w:val="24"/>
                <w:szCs w:val="24"/>
              </w:rPr>
              <w:t>通过分析文献信息增长的根本原因，分析影响科技发展的经济、社会因素。</w:t>
            </w:r>
          </w:p>
        </w:tc>
        <w:tc>
          <w:tcPr>
            <w:tcW w:w="5096" w:type="dxa"/>
            <w:vAlign w:val="center"/>
          </w:tcPr>
          <w:p w14:paraId="78CA24F6">
            <w:pPr>
              <w:rPr>
                <w:rFonts w:ascii="宋体" w:hAnsi="宋体" w:eastAsia="宋体"/>
                <w:sz w:val="24"/>
                <w:szCs w:val="24"/>
              </w:rPr>
            </w:pPr>
            <w:r>
              <w:rPr>
                <w:rFonts w:hint="eastAsia" w:ascii="宋体" w:hAnsi="宋体" w:eastAsia="宋体"/>
                <w:sz w:val="24"/>
                <w:szCs w:val="24"/>
              </w:rPr>
              <w:t>重点：文献信息增长的基础数学模型。</w:t>
            </w:r>
          </w:p>
          <w:p w14:paraId="4E445994">
            <w:pPr>
              <w:rPr>
                <w:rFonts w:ascii="宋体" w:hAnsi="宋体" w:eastAsia="宋体"/>
                <w:sz w:val="24"/>
                <w:szCs w:val="24"/>
              </w:rPr>
            </w:pPr>
            <w:r>
              <w:rPr>
                <w:rFonts w:hint="eastAsia" w:ascii="宋体" w:hAnsi="宋体" w:eastAsia="宋体"/>
                <w:sz w:val="24"/>
                <w:szCs w:val="24"/>
              </w:rPr>
              <w:t>难点：运用文献信息指数增长规律进行计算。</w:t>
            </w:r>
          </w:p>
        </w:tc>
        <w:tc>
          <w:tcPr>
            <w:tcW w:w="1555" w:type="dxa"/>
            <w:vAlign w:val="center"/>
          </w:tcPr>
          <w:p w14:paraId="18CD9E93">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5DB1D6E0">
            <w:pPr>
              <w:rPr>
                <w:rFonts w:ascii="宋体" w:hAnsi="宋体" w:eastAsia="宋体"/>
                <w:sz w:val="24"/>
                <w:szCs w:val="24"/>
              </w:rPr>
            </w:pPr>
          </w:p>
        </w:tc>
      </w:tr>
      <w:tr w14:paraId="2CAB65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96EE36">
            <w:pPr>
              <w:rPr>
                <w:rFonts w:ascii="宋体" w:hAnsi="宋体" w:eastAsia="宋体"/>
                <w:sz w:val="24"/>
                <w:szCs w:val="24"/>
              </w:rPr>
            </w:pPr>
            <w:r>
              <w:rPr>
                <w:rFonts w:hint="eastAsia" w:ascii="宋体" w:hAnsi="宋体" w:eastAsia="宋体"/>
                <w:sz w:val="24"/>
                <w:szCs w:val="24"/>
              </w:rPr>
              <w:t>第三章  文献信息老化规律</w:t>
            </w:r>
          </w:p>
          <w:p w14:paraId="26FE32C7">
            <w:pPr>
              <w:rPr>
                <w:rFonts w:ascii="宋体" w:hAnsi="宋体" w:eastAsia="宋体"/>
                <w:sz w:val="24"/>
                <w:szCs w:val="24"/>
              </w:rPr>
            </w:pPr>
            <w:r>
              <w:rPr>
                <w:rFonts w:hint="eastAsia" w:ascii="宋体" w:hAnsi="宋体" w:eastAsia="宋体"/>
                <w:sz w:val="24"/>
                <w:szCs w:val="24"/>
              </w:rPr>
              <w:t>第一节 文献信息老化的概念；</w:t>
            </w:r>
          </w:p>
          <w:p w14:paraId="3D9F7D91">
            <w:pPr>
              <w:rPr>
                <w:rFonts w:ascii="宋体" w:hAnsi="宋体" w:eastAsia="宋体"/>
                <w:sz w:val="24"/>
                <w:szCs w:val="24"/>
              </w:rPr>
            </w:pPr>
            <w:r>
              <w:rPr>
                <w:rFonts w:hint="eastAsia" w:ascii="宋体" w:hAnsi="宋体" w:eastAsia="宋体"/>
                <w:sz w:val="24"/>
                <w:szCs w:val="24"/>
              </w:rPr>
              <w:t>第二节 文献信息老化的量度指标；</w:t>
            </w:r>
          </w:p>
          <w:p w14:paraId="568C7A3F">
            <w:pPr>
              <w:rPr>
                <w:rFonts w:ascii="宋体" w:hAnsi="宋体" w:eastAsia="宋体"/>
                <w:sz w:val="24"/>
                <w:szCs w:val="24"/>
              </w:rPr>
            </w:pPr>
            <w:r>
              <w:rPr>
                <w:rFonts w:hint="eastAsia" w:ascii="宋体" w:hAnsi="宋体" w:eastAsia="宋体"/>
                <w:sz w:val="24"/>
                <w:szCs w:val="24"/>
              </w:rPr>
              <w:t>第三节 文献信息老化的数学模型及老化指标</w:t>
            </w:r>
          </w:p>
        </w:tc>
        <w:tc>
          <w:tcPr>
            <w:tcW w:w="5096" w:type="dxa"/>
            <w:vAlign w:val="center"/>
          </w:tcPr>
          <w:p w14:paraId="58145883">
            <w:pPr>
              <w:rPr>
                <w:rFonts w:ascii="宋体" w:hAnsi="宋体" w:eastAsia="宋体"/>
                <w:sz w:val="24"/>
                <w:szCs w:val="24"/>
              </w:rPr>
            </w:pPr>
            <w:r>
              <w:rPr>
                <w:rFonts w:hint="eastAsia" w:ascii="宋体" w:hAnsi="宋体" w:eastAsia="宋体"/>
                <w:sz w:val="24"/>
                <w:szCs w:val="24"/>
              </w:rPr>
              <w:t>文献信息老化的概念和量度指标；文献信息老化的数学模型及老化指标等。</w:t>
            </w:r>
          </w:p>
        </w:tc>
        <w:tc>
          <w:tcPr>
            <w:tcW w:w="5096" w:type="dxa"/>
            <w:vAlign w:val="center"/>
          </w:tcPr>
          <w:p w14:paraId="4C7B010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3F430F5">
            <w:pPr>
              <w:rPr>
                <w:rFonts w:ascii="宋体" w:hAnsi="宋体" w:eastAsia="宋体"/>
                <w:sz w:val="24"/>
                <w:szCs w:val="24"/>
              </w:rPr>
            </w:pPr>
            <w:r>
              <w:rPr>
                <w:rFonts w:hint="eastAsia" w:ascii="宋体" w:hAnsi="宋体" w:eastAsia="宋体"/>
                <w:sz w:val="24"/>
                <w:szCs w:val="24"/>
              </w:rPr>
              <w:t>在文献老化相关内容中融入哲学思想的讲授，如现象与本质、量变与质变、事物普遍联系等。同时增强学生的系统思维和创新思维。</w:t>
            </w:r>
          </w:p>
        </w:tc>
        <w:tc>
          <w:tcPr>
            <w:tcW w:w="5096" w:type="dxa"/>
            <w:vAlign w:val="center"/>
          </w:tcPr>
          <w:p w14:paraId="031D4BA0">
            <w:pPr>
              <w:rPr>
                <w:rFonts w:ascii="宋体" w:hAnsi="宋体" w:eastAsia="宋体"/>
                <w:sz w:val="24"/>
                <w:szCs w:val="24"/>
              </w:rPr>
            </w:pPr>
            <w:r>
              <w:rPr>
                <w:rFonts w:hint="eastAsia" w:ascii="宋体" w:hAnsi="宋体" w:eastAsia="宋体"/>
                <w:sz w:val="24"/>
                <w:szCs w:val="24"/>
              </w:rPr>
              <w:t>重点：文献信息老化的概念；</w:t>
            </w:r>
          </w:p>
          <w:p w14:paraId="228CF48D">
            <w:pPr>
              <w:rPr>
                <w:rFonts w:ascii="宋体" w:hAnsi="宋体" w:eastAsia="宋体"/>
                <w:sz w:val="24"/>
                <w:szCs w:val="24"/>
              </w:rPr>
            </w:pPr>
            <w:r>
              <w:rPr>
                <w:rFonts w:hint="eastAsia" w:ascii="宋体" w:hAnsi="宋体" w:eastAsia="宋体"/>
                <w:sz w:val="24"/>
                <w:szCs w:val="24"/>
              </w:rPr>
              <w:t>难点：文献信息老化的基础数学模型。</w:t>
            </w:r>
          </w:p>
        </w:tc>
        <w:tc>
          <w:tcPr>
            <w:tcW w:w="1555" w:type="dxa"/>
            <w:vAlign w:val="center"/>
          </w:tcPr>
          <w:p w14:paraId="76DA8B51">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A412ECE">
            <w:pPr>
              <w:rPr>
                <w:rFonts w:ascii="宋体" w:hAnsi="宋体" w:eastAsia="宋体"/>
                <w:sz w:val="24"/>
                <w:szCs w:val="24"/>
              </w:rPr>
            </w:pPr>
          </w:p>
        </w:tc>
      </w:tr>
      <w:tr w14:paraId="1DEFD9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F52593">
            <w:pPr>
              <w:rPr>
                <w:rFonts w:ascii="宋体" w:hAnsi="宋体" w:eastAsia="宋体"/>
                <w:sz w:val="24"/>
                <w:szCs w:val="24"/>
              </w:rPr>
            </w:pPr>
            <w:r>
              <w:rPr>
                <w:rFonts w:hint="eastAsia" w:ascii="宋体" w:hAnsi="宋体" w:eastAsia="宋体"/>
                <w:sz w:val="24"/>
                <w:szCs w:val="24"/>
              </w:rPr>
              <w:t>第三章  文献信息老化规律</w:t>
            </w:r>
          </w:p>
          <w:p w14:paraId="4F012AF0">
            <w:pPr>
              <w:rPr>
                <w:rFonts w:ascii="宋体" w:hAnsi="宋体" w:eastAsia="宋体"/>
                <w:sz w:val="24"/>
                <w:szCs w:val="24"/>
              </w:rPr>
            </w:pPr>
            <w:r>
              <w:rPr>
                <w:rFonts w:hint="eastAsia" w:ascii="宋体" w:hAnsi="宋体" w:eastAsia="宋体"/>
                <w:sz w:val="24"/>
                <w:szCs w:val="24"/>
              </w:rPr>
              <w:t>第一节 文献信息老化机理的研究与分析；</w:t>
            </w:r>
          </w:p>
          <w:p w14:paraId="3ED3A1CE">
            <w:pPr>
              <w:rPr>
                <w:rFonts w:ascii="宋体" w:hAnsi="宋体" w:eastAsia="宋体"/>
                <w:sz w:val="24"/>
                <w:szCs w:val="24"/>
              </w:rPr>
            </w:pPr>
            <w:r>
              <w:rPr>
                <w:rFonts w:hint="eastAsia" w:ascii="宋体" w:hAnsi="宋体" w:eastAsia="宋体"/>
                <w:sz w:val="24"/>
                <w:szCs w:val="24"/>
              </w:rPr>
              <w:t>第二节 文献信息老化规律的应用。</w:t>
            </w:r>
          </w:p>
        </w:tc>
        <w:tc>
          <w:tcPr>
            <w:tcW w:w="5096" w:type="dxa"/>
            <w:vAlign w:val="center"/>
          </w:tcPr>
          <w:p w14:paraId="5A4CF2A7">
            <w:pPr>
              <w:rPr>
                <w:rFonts w:ascii="宋体" w:hAnsi="宋体" w:eastAsia="宋体"/>
                <w:sz w:val="24"/>
                <w:szCs w:val="24"/>
              </w:rPr>
            </w:pPr>
            <w:r>
              <w:rPr>
                <w:rFonts w:hint="eastAsia" w:ascii="宋体" w:hAnsi="宋体" w:eastAsia="宋体"/>
                <w:sz w:val="24"/>
                <w:szCs w:val="24"/>
              </w:rPr>
              <w:t>文献信息老化规律。文献信息老化机理的研究与分析；文献信息老化规律的应用等。</w:t>
            </w:r>
          </w:p>
        </w:tc>
        <w:tc>
          <w:tcPr>
            <w:tcW w:w="5096" w:type="dxa"/>
            <w:vAlign w:val="center"/>
          </w:tcPr>
          <w:p w14:paraId="735A693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66D885F">
            <w:pPr>
              <w:rPr>
                <w:rFonts w:ascii="宋体" w:hAnsi="宋体" w:eastAsia="宋体"/>
                <w:sz w:val="24"/>
                <w:szCs w:val="24"/>
              </w:rPr>
            </w:pPr>
            <w:r>
              <w:rPr>
                <w:rFonts w:hint="eastAsia" w:ascii="宋体" w:hAnsi="宋体" w:eastAsia="宋体"/>
                <w:sz w:val="24"/>
                <w:szCs w:val="24"/>
              </w:rPr>
              <w:t>通过文献老化的案例分析，融入大国科技竞争与国家总体安全观教育，提升学生的文化认同和四个自信。</w:t>
            </w:r>
          </w:p>
        </w:tc>
        <w:tc>
          <w:tcPr>
            <w:tcW w:w="5096" w:type="dxa"/>
            <w:vAlign w:val="center"/>
          </w:tcPr>
          <w:p w14:paraId="1812A6E1">
            <w:pPr>
              <w:rPr>
                <w:rFonts w:ascii="宋体" w:hAnsi="宋体" w:eastAsia="宋体"/>
                <w:sz w:val="24"/>
                <w:szCs w:val="24"/>
              </w:rPr>
            </w:pPr>
            <w:r>
              <w:rPr>
                <w:rFonts w:hint="eastAsia" w:ascii="宋体" w:hAnsi="宋体" w:eastAsia="宋体"/>
                <w:sz w:val="24"/>
                <w:szCs w:val="24"/>
              </w:rPr>
              <w:t>重点：老化规律的应用</w:t>
            </w:r>
          </w:p>
          <w:p w14:paraId="38E5456C">
            <w:pPr>
              <w:rPr>
                <w:rFonts w:ascii="宋体" w:hAnsi="宋体" w:eastAsia="宋体"/>
                <w:sz w:val="24"/>
                <w:szCs w:val="24"/>
              </w:rPr>
            </w:pPr>
            <w:r>
              <w:rPr>
                <w:rFonts w:hint="eastAsia" w:ascii="宋体" w:hAnsi="宋体" w:eastAsia="宋体"/>
                <w:sz w:val="24"/>
                <w:szCs w:val="24"/>
              </w:rPr>
              <w:t>难点：老化机理分析</w:t>
            </w:r>
          </w:p>
        </w:tc>
        <w:tc>
          <w:tcPr>
            <w:tcW w:w="1555" w:type="dxa"/>
            <w:vAlign w:val="center"/>
          </w:tcPr>
          <w:p w14:paraId="0F298BD3">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16334FAB">
            <w:pPr>
              <w:rPr>
                <w:rFonts w:ascii="宋体" w:hAnsi="宋体" w:eastAsia="宋体"/>
                <w:sz w:val="24"/>
                <w:szCs w:val="24"/>
              </w:rPr>
            </w:pPr>
          </w:p>
        </w:tc>
      </w:tr>
      <w:tr w14:paraId="750510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C940E9">
            <w:pPr>
              <w:rPr>
                <w:rFonts w:ascii="宋体" w:hAnsi="宋体" w:eastAsia="宋体"/>
                <w:sz w:val="24"/>
                <w:szCs w:val="24"/>
              </w:rPr>
            </w:pPr>
            <w:r>
              <w:rPr>
                <w:rFonts w:hint="eastAsia" w:ascii="宋体" w:hAnsi="宋体" w:eastAsia="宋体"/>
                <w:sz w:val="24"/>
                <w:szCs w:val="24"/>
              </w:rPr>
              <w:t>第四章  文献信息集中与离散分布规律</w:t>
            </w:r>
          </w:p>
          <w:p w14:paraId="19071F4E">
            <w:pPr>
              <w:rPr>
                <w:rFonts w:ascii="宋体" w:hAnsi="宋体" w:eastAsia="宋体"/>
                <w:sz w:val="24"/>
                <w:szCs w:val="24"/>
              </w:rPr>
            </w:pPr>
            <w:r>
              <w:rPr>
                <w:rFonts w:hint="eastAsia" w:ascii="宋体" w:hAnsi="宋体" w:eastAsia="宋体"/>
                <w:sz w:val="24"/>
                <w:szCs w:val="24"/>
              </w:rPr>
              <w:t>第一节 布拉德福定律的产生背景；</w:t>
            </w:r>
          </w:p>
          <w:p w14:paraId="4907D7EE">
            <w:pPr>
              <w:rPr>
                <w:rFonts w:ascii="宋体" w:hAnsi="宋体" w:eastAsia="宋体"/>
                <w:sz w:val="24"/>
                <w:szCs w:val="24"/>
              </w:rPr>
            </w:pPr>
            <w:r>
              <w:rPr>
                <w:rFonts w:hint="eastAsia" w:ascii="宋体" w:hAnsi="宋体" w:eastAsia="宋体"/>
                <w:sz w:val="24"/>
                <w:szCs w:val="24"/>
              </w:rPr>
              <w:t>第二节 布拉德福定律的形成；</w:t>
            </w:r>
          </w:p>
          <w:p w14:paraId="315CF68D">
            <w:pPr>
              <w:rPr>
                <w:rFonts w:ascii="宋体" w:hAnsi="宋体" w:eastAsia="宋体"/>
                <w:sz w:val="24"/>
                <w:szCs w:val="24"/>
              </w:rPr>
            </w:pPr>
            <w:r>
              <w:rPr>
                <w:rFonts w:hint="eastAsia" w:ascii="宋体" w:hAnsi="宋体" w:eastAsia="宋体"/>
                <w:sz w:val="24"/>
                <w:szCs w:val="24"/>
              </w:rPr>
              <w:t>第三节 布拉德福定律的发展过程</w:t>
            </w:r>
          </w:p>
        </w:tc>
        <w:tc>
          <w:tcPr>
            <w:tcW w:w="5096" w:type="dxa"/>
            <w:vAlign w:val="center"/>
          </w:tcPr>
          <w:p w14:paraId="12318C2C">
            <w:pPr>
              <w:rPr>
                <w:rFonts w:ascii="宋体" w:hAnsi="宋体" w:eastAsia="宋体"/>
                <w:sz w:val="24"/>
                <w:szCs w:val="24"/>
              </w:rPr>
            </w:pPr>
            <w:r>
              <w:rPr>
                <w:rFonts w:hint="eastAsia" w:ascii="宋体" w:hAnsi="宋体" w:eastAsia="宋体"/>
                <w:sz w:val="24"/>
                <w:szCs w:val="24"/>
              </w:rPr>
              <w:t>文献信息集中与离散分布规律。布拉德福定律的产生背景、形成；布拉德福定律的发展过程等。</w:t>
            </w:r>
          </w:p>
        </w:tc>
        <w:tc>
          <w:tcPr>
            <w:tcW w:w="5096" w:type="dxa"/>
            <w:vAlign w:val="center"/>
          </w:tcPr>
          <w:p w14:paraId="171BD82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72833D8">
            <w:pPr>
              <w:rPr>
                <w:rFonts w:ascii="宋体" w:hAnsi="宋体" w:eastAsia="宋体"/>
                <w:sz w:val="24"/>
                <w:szCs w:val="24"/>
              </w:rPr>
            </w:pPr>
            <w:r>
              <w:rPr>
                <w:rFonts w:hint="eastAsia" w:ascii="宋体" w:hAnsi="宋体" w:eastAsia="宋体"/>
                <w:sz w:val="24"/>
                <w:szCs w:val="24"/>
              </w:rPr>
              <w:t>结合布拉德福定律，分析核心期刊在科技评价中的作用。融入我国推进科技评价和管理体制改革，建设科技强国的战略自信。</w:t>
            </w:r>
          </w:p>
        </w:tc>
        <w:tc>
          <w:tcPr>
            <w:tcW w:w="5096" w:type="dxa"/>
            <w:vAlign w:val="center"/>
          </w:tcPr>
          <w:p w14:paraId="2712D5D9">
            <w:pPr>
              <w:rPr>
                <w:rFonts w:ascii="宋体" w:hAnsi="宋体" w:eastAsia="宋体"/>
                <w:sz w:val="24"/>
                <w:szCs w:val="24"/>
              </w:rPr>
            </w:pPr>
            <w:r>
              <w:rPr>
                <w:rFonts w:hint="eastAsia" w:ascii="宋体" w:hAnsi="宋体" w:eastAsia="宋体"/>
                <w:sz w:val="24"/>
                <w:szCs w:val="24"/>
              </w:rPr>
              <w:t>重点：布拉德福定律的原始形式；</w:t>
            </w:r>
          </w:p>
          <w:p w14:paraId="57B26683">
            <w:pPr>
              <w:rPr>
                <w:rFonts w:ascii="宋体" w:hAnsi="宋体" w:eastAsia="宋体"/>
                <w:sz w:val="24"/>
                <w:szCs w:val="24"/>
              </w:rPr>
            </w:pPr>
            <w:r>
              <w:rPr>
                <w:rFonts w:hint="eastAsia" w:ascii="宋体" w:hAnsi="宋体" w:eastAsia="宋体"/>
                <w:sz w:val="24"/>
                <w:szCs w:val="24"/>
              </w:rPr>
              <w:t>难点：运用布拉德福定律进行计算。</w:t>
            </w:r>
          </w:p>
        </w:tc>
        <w:tc>
          <w:tcPr>
            <w:tcW w:w="1555" w:type="dxa"/>
            <w:vAlign w:val="center"/>
          </w:tcPr>
          <w:p w14:paraId="7E445954">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E341320">
            <w:pPr>
              <w:rPr>
                <w:rFonts w:ascii="宋体" w:hAnsi="宋体" w:eastAsia="宋体"/>
                <w:sz w:val="24"/>
                <w:szCs w:val="24"/>
              </w:rPr>
            </w:pPr>
          </w:p>
        </w:tc>
      </w:tr>
      <w:tr w14:paraId="4FD2E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7E8D61">
            <w:pPr>
              <w:rPr>
                <w:rFonts w:ascii="宋体" w:hAnsi="宋体" w:eastAsia="宋体"/>
                <w:sz w:val="24"/>
                <w:szCs w:val="24"/>
              </w:rPr>
            </w:pPr>
            <w:r>
              <w:rPr>
                <w:rFonts w:hint="eastAsia" w:ascii="宋体" w:hAnsi="宋体" w:eastAsia="宋体"/>
                <w:sz w:val="24"/>
                <w:szCs w:val="24"/>
              </w:rPr>
              <w:t>第四章  文献信息集中与离散分布规律</w:t>
            </w:r>
          </w:p>
          <w:p w14:paraId="0BD423B0">
            <w:pPr>
              <w:rPr>
                <w:rFonts w:ascii="宋体" w:hAnsi="宋体" w:eastAsia="宋体"/>
                <w:sz w:val="24"/>
                <w:szCs w:val="24"/>
              </w:rPr>
            </w:pPr>
            <w:r>
              <w:rPr>
                <w:rFonts w:hint="eastAsia" w:ascii="宋体" w:hAnsi="宋体" w:eastAsia="宋体"/>
                <w:sz w:val="24"/>
                <w:szCs w:val="24"/>
              </w:rPr>
              <w:t>第一节 布拉德福定律的基本内容；</w:t>
            </w:r>
          </w:p>
          <w:p w14:paraId="58491E38">
            <w:pPr>
              <w:rPr>
                <w:rFonts w:ascii="宋体" w:hAnsi="宋体" w:eastAsia="宋体"/>
                <w:sz w:val="24"/>
                <w:szCs w:val="24"/>
              </w:rPr>
            </w:pPr>
            <w:r>
              <w:rPr>
                <w:rFonts w:hint="eastAsia" w:ascii="宋体" w:hAnsi="宋体" w:eastAsia="宋体"/>
                <w:sz w:val="24"/>
                <w:szCs w:val="24"/>
              </w:rPr>
              <w:t>第二节 维克利修正；布鲁克斯公式等。</w:t>
            </w:r>
          </w:p>
        </w:tc>
        <w:tc>
          <w:tcPr>
            <w:tcW w:w="5096" w:type="dxa"/>
            <w:vAlign w:val="center"/>
          </w:tcPr>
          <w:p w14:paraId="1C9C6728">
            <w:pPr>
              <w:rPr>
                <w:rFonts w:ascii="宋体" w:hAnsi="宋体" w:eastAsia="宋体"/>
                <w:sz w:val="24"/>
                <w:szCs w:val="24"/>
              </w:rPr>
            </w:pPr>
            <w:r>
              <w:rPr>
                <w:rFonts w:hint="eastAsia" w:ascii="宋体" w:hAnsi="宋体" w:eastAsia="宋体"/>
                <w:sz w:val="24"/>
                <w:szCs w:val="24"/>
              </w:rPr>
              <w:t>文献信息集中与离散分布规律。布拉德福定律的基本内容；维克利修正；布鲁克斯公式等。</w:t>
            </w:r>
          </w:p>
        </w:tc>
        <w:tc>
          <w:tcPr>
            <w:tcW w:w="5096" w:type="dxa"/>
            <w:vAlign w:val="center"/>
          </w:tcPr>
          <w:p w14:paraId="74AC9FB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54B85C0">
            <w:pPr>
              <w:rPr>
                <w:rFonts w:ascii="宋体" w:hAnsi="宋体" w:eastAsia="宋体"/>
                <w:sz w:val="24"/>
                <w:szCs w:val="24"/>
              </w:rPr>
            </w:pPr>
            <w:r>
              <w:rPr>
                <w:rFonts w:hint="eastAsia" w:ascii="宋体" w:hAnsi="宋体" w:eastAsia="宋体"/>
                <w:sz w:val="24"/>
                <w:szCs w:val="24"/>
              </w:rPr>
              <w:t>在讲授文献分布规律中，以党史教育相关文献为案例，融入党史理论知识内容，增强学生的制度自信和文化自信。</w:t>
            </w:r>
          </w:p>
        </w:tc>
        <w:tc>
          <w:tcPr>
            <w:tcW w:w="5096" w:type="dxa"/>
            <w:vAlign w:val="center"/>
          </w:tcPr>
          <w:p w14:paraId="03FD210D">
            <w:pPr>
              <w:rPr>
                <w:rFonts w:ascii="宋体" w:hAnsi="宋体" w:eastAsia="宋体"/>
                <w:sz w:val="24"/>
                <w:szCs w:val="24"/>
              </w:rPr>
            </w:pPr>
            <w:r>
              <w:rPr>
                <w:rFonts w:hint="eastAsia" w:ascii="宋体" w:hAnsi="宋体" w:eastAsia="宋体"/>
                <w:sz w:val="24"/>
                <w:szCs w:val="24"/>
              </w:rPr>
              <w:t>重点：布鲁克斯公式；</w:t>
            </w:r>
          </w:p>
          <w:p w14:paraId="2C9B4343">
            <w:pPr>
              <w:rPr>
                <w:rFonts w:ascii="宋体" w:hAnsi="宋体" w:eastAsia="宋体"/>
                <w:sz w:val="24"/>
                <w:szCs w:val="24"/>
              </w:rPr>
            </w:pPr>
            <w:r>
              <w:rPr>
                <w:rFonts w:hint="eastAsia" w:ascii="宋体" w:hAnsi="宋体" w:eastAsia="宋体"/>
                <w:sz w:val="24"/>
                <w:szCs w:val="24"/>
              </w:rPr>
              <w:t>难点：理解成功产生成功原则。</w:t>
            </w:r>
          </w:p>
        </w:tc>
        <w:tc>
          <w:tcPr>
            <w:tcW w:w="1555" w:type="dxa"/>
            <w:vAlign w:val="center"/>
          </w:tcPr>
          <w:p w14:paraId="4ADD28A9">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5A621005">
            <w:pPr>
              <w:rPr>
                <w:rFonts w:ascii="宋体" w:hAnsi="宋体" w:eastAsia="宋体"/>
                <w:sz w:val="24"/>
                <w:szCs w:val="24"/>
              </w:rPr>
            </w:pPr>
          </w:p>
        </w:tc>
      </w:tr>
      <w:tr w14:paraId="36FBE7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7D9DC9">
            <w:pPr>
              <w:rPr>
                <w:rFonts w:ascii="宋体" w:hAnsi="宋体" w:eastAsia="宋体"/>
                <w:sz w:val="24"/>
                <w:szCs w:val="24"/>
              </w:rPr>
            </w:pPr>
            <w:r>
              <w:rPr>
                <w:rFonts w:hint="eastAsia" w:ascii="宋体" w:hAnsi="宋体" w:eastAsia="宋体"/>
                <w:sz w:val="24"/>
                <w:szCs w:val="24"/>
              </w:rPr>
              <w:t>小组课题实践</w:t>
            </w:r>
          </w:p>
        </w:tc>
        <w:tc>
          <w:tcPr>
            <w:tcW w:w="5096" w:type="dxa"/>
            <w:vAlign w:val="center"/>
          </w:tcPr>
          <w:p w14:paraId="7261CDD3">
            <w:pPr>
              <w:rPr>
                <w:rFonts w:ascii="宋体" w:hAnsi="宋体" w:eastAsia="宋体"/>
                <w:sz w:val="24"/>
                <w:szCs w:val="24"/>
              </w:rPr>
            </w:pPr>
            <w:r>
              <w:rPr>
                <w:rFonts w:hint="eastAsia" w:ascii="宋体" w:hAnsi="宋体" w:eastAsia="宋体"/>
                <w:sz w:val="24"/>
                <w:szCs w:val="24"/>
              </w:rPr>
              <w:t>对小组课题实践进行展示汇报和交流。教师进行点评和总结</w:t>
            </w:r>
          </w:p>
        </w:tc>
        <w:tc>
          <w:tcPr>
            <w:tcW w:w="5096" w:type="dxa"/>
            <w:vAlign w:val="center"/>
          </w:tcPr>
          <w:p w14:paraId="7A17E93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353AE22">
            <w:pPr>
              <w:rPr>
                <w:rFonts w:ascii="宋体" w:hAnsi="宋体" w:eastAsia="宋体"/>
                <w:sz w:val="24"/>
                <w:szCs w:val="24"/>
              </w:rPr>
            </w:pPr>
            <w:r>
              <w:rPr>
                <w:rFonts w:hint="eastAsia" w:ascii="宋体" w:hAnsi="宋体" w:eastAsia="宋体"/>
                <w:sz w:val="24"/>
                <w:szCs w:val="24"/>
              </w:rPr>
              <w:t>引导学生关注国家重大发展战略。（科技强国战略、创新驱动战略等）</w:t>
            </w:r>
          </w:p>
        </w:tc>
        <w:tc>
          <w:tcPr>
            <w:tcW w:w="5096" w:type="dxa"/>
            <w:vAlign w:val="center"/>
          </w:tcPr>
          <w:p w14:paraId="74160132">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07E41204">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73F8E4D7">
            <w:pPr>
              <w:rPr>
                <w:rFonts w:ascii="宋体" w:hAnsi="宋体" w:eastAsia="宋体"/>
                <w:sz w:val="24"/>
                <w:szCs w:val="24"/>
              </w:rPr>
            </w:pPr>
          </w:p>
        </w:tc>
      </w:tr>
      <w:tr w14:paraId="0B23AB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E4CE99">
            <w:pPr>
              <w:rPr>
                <w:rFonts w:ascii="宋体" w:hAnsi="宋体" w:eastAsia="宋体"/>
                <w:sz w:val="24"/>
                <w:szCs w:val="24"/>
              </w:rPr>
            </w:pPr>
            <w:r>
              <w:rPr>
                <w:rFonts w:hint="eastAsia" w:ascii="宋体" w:hAnsi="宋体" w:eastAsia="宋体"/>
                <w:sz w:val="24"/>
                <w:szCs w:val="24"/>
              </w:rPr>
              <w:t>第四章  文献信息集中与离散分布规律</w:t>
            </w:r>
          </w:p>
          <w:p w14:paraId="3FB4CFC9">
            <w:pPr>
              <w:rPr>
                <w:rFonts w:ascii="宋体" w:hAnsi="宋体" w:eastAsia="宋体"/>
                <w:sz w:val="24"/>
                <w:szCs w:val="24"/>
              </w:rPr>
            </w:pPr>
            <w:r>
              <w:rPr>
                <w:rFonts w:hint="eastAsia" w:ascii="宋体" w:hAnsi="宋体" w:eastAsia="宋体"/>
                <w:sz w:val="24"/>
                <w:szCs w:val="24"/>
              </w:rPr>
              <w:t>第一节 布拉德福定律的机理与应用；</w:t>
            </w:r>
          </w:p>
          <w:p w14:paraId="5EB66D65">
            <w:pPr>
              <w:rPr>
                <w:rFonts w:ascii="宋体" w:hAnsi="宋体" w:eastAsia="宋体"/>
                <w:sz w:val="24"/>
                <w:szCs w:val="24"/>
              </w:rPr>
            </w:pPr>
            <w:r>
              <w:rPr>
                <w:rFonts w:hint="eastAsia" w:ascii="宋体" w:hAnsi="宋体" w:eastAsia="宋体"/>
                <w:sz w:val="24"/>
                <w:szCs w:val="24"/>
              </w:rPr>
              <w:t>第二节 核心期刊分析</w:t>
            </w:r>
          </w:p>
        </w:tc>
        <w:tc>
          <w:tcPr>
            <w:tcW w:w="5096" w:type="dxa"/>
            <w:vAlign w:val="center"/>
          </w:tcPr>
          <w:p w14:paraId="0792486A">
            <w:pPr>
              <w:rPr>
                <w:rFonts w:ascii="宋体" w:hAnsi="宋体" w:eastAsia="宋体"/>
                <w:sz w:val="24"/>
                <w:szCs w:val="24"/>
              </w:rPr>
            </w:pPr>
            <w:r>
              <w:rPr>
                <w:rFonts w:hint="eastAsia" w:ascii="宋体" w:hAnsi="宋体" w:eastAsia="宋体"/>
                <w:sz w:val="24"/>
                <w:szCs w:val="24"/>
              </w:rPr>
              <w:t>文献信息集中与离散分布规律。布拉德福定律的机理，应用；核心期刊分析等。</w:t>
            </w:r>
          </w:p>
        </w:tc>
        <w:tc>
          <w:tcPr>
            <w:tcW w:w="5096" w:type="dxa"/>
            <w:vAlign w:val="center"/>
          </w:tcPr>
          <w:p w14:paraId="288C00C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1AD6CAB">
            <w:pPr>
              <w:rPr>
                <w:rFonts w:ascii="宋体" w:hAnsi="宋体" w:eastAsia="宋体"/>
                <w:sz w:val="24"/>
                <w:szCs w:val="24"/>
              </w:rPr>
            </w:pPr>
            <w:r>
              <w:rPr>
                <w:rFonts w:hint="eastAsia" w:ascii="宋体" w:hAnsi="宋体" w:eastAsia="宋体"/>
                <w:sz w:val="24"/>
                <w:szCs w:val="24"/>
              </w:rPr>
              <w:t>通过对“成功产生成功原则”的学习，讨论社会现象的发展机制与客观规律。</w:t>
            </w:r>
          </w:p>
        </w:tc>
        <w:tc>
          <w:tcPr>
            <w:tcW w:w="5096" w:type="dxa"/>
            <w:vAlign w:val="center"/>
          </w:tcPr>
          <w:p w14:paraId="3E7C23E9">
            <w:pPr>
              <w:rPr>
                <w:rFonts w:ascii="宋体" w:hAnsi="宋体" w:eastAsia="宋体"/>
                <w:sz w:val="24"/>
                <w:szCs w:val="24"/>
              </w:rPr>
            </w:pPr>
            <w:r>
              <w:rPr>
                <w:rFonts w:hint="eastAsia" w:ascii="宋体" w:hAnsi="宋体" w:eastAsia="宋体"/>
                <w:sz w:val="24"/>
                <w:szCs w:val="24"/>
              </w:rPr>
              <w:t>重点：布拉德福定律的机理；</w:t>
            </w:r>
          </w:p>
          <w:p w14:paraId="74E13470">
            <w:pPr>
              <w:rPr>
                <w:rFonts w:ascii="宋体" w:hAnsi="宋体" w:eastAsia="宋体"/>
                <w:sz w:val="24"/>
                <w:szCs w:val="24"/>
              </w:rPr>
            </w:pPr>
            <w:r>
              <w:rPr>
                <w:rFonts w:hint="eastAsia" w:ascii="宋体" w:hAnsi="宋体" w:eastAsia="宋体"/>
                <w:sz w:val="24"/>
                <w:szCs w:val="24"/>
              </w:rPr>
              <w:t>难点：布拉德福定律的应用</w:t>
            </w:r>
          </w:p>
        </w:tc>
        <w:tc>
          <w:tcPr>
            <w:tcW w:w="1555" w:type="dxa"/>
            <w:vAlign w:val="center"/>
          </w:tcPr>
          <w:p w14:paraId="62FE3663">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53894960">
            <w:pPr>
              <w:rPr>
                <w:rFonts w:ascii="宋体" w:hAnsi="宋体" w:eastAsia="宋体"/>
                <w:sz w:val="24"/>
                <w:szCs w:val="24"/>
              </w:rPr>
            </w:pPr>
          </w:p>
        </w:tc>
      </w:tr>
      <w:tr w14:paraId="2CC193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9FC18D">
            <w:pPr>
              <w:rPr>
                <w:rFonts w:ascii="宋体" w:hAnsi="宋体" w:eastAsia="宋体"/>
                <w:sz w:val="24"/>
                <w:szCs w:val="24"/>
              </w:rPr>
            </w:pPr>
            <w:r>
              <w:rPr>
                <w:rFonts w:hint="eastAsia" w:ascii="宋体" w:hAnsi="宋体" w:eastAsia="宋体"/>
                <w:sz w:val="24"/>
                <w:szCs w:val="24"/>
              </w:rPr>
              <w:t>第五章 文献信息词频分布规律</w:t>
            </w:r>
          </w:p>
          <w:p w14:paraId="6F134523">
            <w:pPr>
              <w:rPr>
                <w:rFonts w:ascii="宋体" w:hAnsi="宋体" w:eastAsia="宋体"/>
                <w:sz w:val="24"/>
                <w:szCs w:val="24"/>
              </w:rPr>
            </w:pPr>
            <w:r>
              <w:rPr>
                <w:rFonts w:hint="eastAsia" w:ascii="宋体" w:hAnsi="宋体" w:eastAsia="宋体"/>
                <w:sz w:val="24"/>
                <w:szCs w:val="24"/>
              </w:rPr>
              <w:t>第一节 齐普夫定律的理论基础；</w:t>
            </w:r>
          </w:p>
          <w:p w14:paraId="54C0D352">
            <w:pPr>
              <w:rPr>
                <w:rFonts w:ascii="宋体" w:hAnsi="宋体" w:eastAsia="宋体"/>
                <w:sz w:val="24"/>
                <w:szCs w:val="24"/>
              </w:rPr>
            </w:pPr>
            <w:r>
              <w:rPr>
                <w:rFonts w:hint="eastAsia" w:ascii="宋体" w:hAnsi="宋体" w:eastAsia="宋体"/>
                <w:sz w:val="24"/>
                <w:szCs w:val="24"/>
              </w:rPr>
              <w:t>第二节 齐普夫定律的形成和确立；</w:t>
            </w:r>
          </w:p>
          <w:p w14:paraId="33A4C92D">
            <w:pPr>
              <w:rPr>
                <w:rFonts w:ascii="宋体" w:hAnsi="宋体" w:eastAsia="宋体"/>
                <w:sz w:val="24"/>
                <w:szCs w:val="24"/>
              </w:rPr>
            </w:pPr>
            <w:r>
              <w:rPr>
                <w:rFonts w:hint="eastAsia" w:ascii="宋体" w:hAnsi="宋体" w:eastAsia="宋体"/>
                <w:sz w:val="24"/>
                <w:szCs w:val="24"/>
              </w:rPr>
              <w:t>第三节 齐普夫定律的基本内容；</w:t>
            </w:r>
          </w:p>
          <w:p w14:paraId="46C1E91E">
            <w:pPr>
              <w:rPr>
                <w:rFonts w:ascii="宋体" w:hAnsi="宋体" w:eastAsia="宋体"/>
                <w:sz w:val="24"/>
                <w:szCs w:val="24"/>
              </w:rPr>
            </w:pPr>
            <w:r>
              <w:rPr>
                <w:rFonts w:hint="eastAsia" w:ascii="宋体" w:hAnsi="宋体" w:eastAsia="宋体"/>
                <w:sz w:val="24"/>
                <w:szCs w:val="24"/>
              </w:rPr>
              <w:t>第四节 齐普夫定律的发展与应用</w:t>
            </w:r>
          </w:p>
        </w:tc>
        <w:tc>
          <w:tcPr>
            <w:tcW w:w="5096" w:type="dxa"/>
            <w:vAlign w:val="center"/>
          </w:tcPr>
          <w:p w14:paraId="55DCA292">
            <w:pPr>
              <w:rPr>
                <w:rFonts w:ascii="宋体" w:hAnsi="宋体" w:eastAsia="宋体"/>
                <w:sz w:val="24"/>
                <w:szCs w:val="24"/>
              </w:rPr>
            </w:pPr>
            <w:r>
              <w:rPr>
                <w:rFonts w:hint="eastAsia" w:ascii="宋体" w:hAnsi="宋体" w:eastAsia="宋体"/>
                <w:sz w:val="24"/>
                <w:szCs w:val="24"/>
              </w:rPr>
              <w:t>文献信息词频分布规律。齐普夫定律的理论基础；齐普夫定律的形成和确立；齐普夫定律的基本内容；齐普夫定律的发展与应用等。</w:t>
            </w:r>
          </w:p>
        </w:tc>
        <w:tc>
          <w:tcPr>
            <w:tcW w:w="5096" w:type="dxa"/>
            <w:vAlign w:val="center"/>
          </w:tcPr>
          <w:p w14:paraId="7B28A04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5405203">
            <w:pPr>
              <w:rPr>
                <w:rFonts w:ascii="宋体" w:hAnsi="宋体" w:eastAsia="宋体"/>
                <w:sz w:val="24"/>
                <w:szCs w:val="24"/>
              </w:rPr>
            </w:pPr>
            <w:r>
              <w:rPr>
                <w:rFonts w:hint="eastAsia" w:ascii="宋体" w:hAnsi="宋体" w:eastAsia="宋体"/>
                <w:sz w:val="24"/>
                <w:szCs w:val="24"/>
              </w:rPr>
              <w:t>在词频分布等内容讲授中，融入观察、想象、思考、判断、推理、逻辑等科学素养教育内容，提升学生的科学思维和科学伦理意识。启发学生的爱国意识，增强文化自信。</w:t>
            </w:r>
          </w:p>
        </w:tc>
        <w:tc>
          <w:tcPr>
            <w:tcW w:w="5096" w:type="dxa"/>
            <w:vAlign w:val="center"/>
          </w:tcPr>
          <w:p w14:paraId="775B2117">
            <w:pPr>
              <w:rPr>
                <w:rFonts w:ascii="宋体" w:hAnsi="宋体" w:eastAsia="宋体"/>
                <w:sz w:val="24"/>
                <w:szCs w:val="24"/>
              </w:rPr>
            </w:pPr>
            <w:r>
              <w:rPr>
                <w:rFonts w:hint="eastAsia" w:ascii="宋体" w:hAnsi="宋体" w:eastAsia="宋体"/>
                <w:sz w:val="24"/>
                <w:szCs w:val="24"/>
              </w:rPr>
              <w:t>重点：齐普夫定律的基础数学模型；掌握最省力法则。</w:t>
            </w:r>
          </w:p>
        </w:tc>
        <w:tc>
          <w:tcPr>
            <w:tcW w:w="1555" w:type="dxa"/>
            <w:vAlign w:val="center"/>
          </w:tcPr>
          <w:p w14:paraId="008D61A7">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22C42B8">
            <w:pPr>
              <w:rPr>
                <w:rFonts w:ascii="宋体" w:hAnsi="宋体" w:eastAsia="宋体"/>
                <w:sz w:val="24"/>
                <w:szCs w:val="24"/>
              </w:rPr>
            </w:pPr>
          </w:p>
        </w:tc>
      </w:tr>
      <w:tr w14:paraId="323925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74006B">
            <w:pPr>
              <w:rPr>
                <w:rFonts w:ascii="宋体" w:hAnsi="宋体" w:eastAsia="宋体"/>
                <w:sz w:val="24"/>
                <w:szCs w:val="24"/>
              </w:rPr>
            </w:pPr>
            <w:r>
              <w:rPr>
                <w:rFonts w:hint="eastAsia" w:ascii="宋体" w:hAnsi="宋体" w:eastAsia="宋体"/>
                <w:sz w:val="24"/>
                <w:szCs w:val="24"/>
              </w:rPr>
              <w:t>第六章  文献信息作者分布规律</w:t>
            </w:r>
          </w:p>
          <w:p w14:paraId="569793DC">
            <w:pPr>
              <w:rPr>
                <w:rFonts w:ascii="宋体" w:hAnsi="宋体" w:eastAsia="宋体"/>
                <w:sz w:val="24"/>
                <w:szCs w:val="24"/>
              </w:rPr>
            </w:pPr>
            <w:r>
              <w:rPr>
                <w:rFonts w:hint="eastAsia" w:ascii="宋体" w:hAnsi="宋体" w:eastAsia="宋体"/>
                <w:sz w:val="24"/>
                <w:szCs w:val="24"/>
              </w:rPr>
              <w:t>第一节 洛特卡定律的形成和基本内容；</w:t>
            </w:r>
          </w:p>
          <w:p w14:paraId="29999151">
            <w:pPr>
              <w:rPr>
                <w:rFonts w:ascii="宋体" w:hAnsi="宋体" w:eastAsia="宋体"/>
                <w:sz w:val="24"/>
                <w:szCs w:val="24"/>
              </w:rPr>
            </w:pPr>
            <w:r>
              <w:rPr>
                <w:rFonts w:hint="eastAsia" w:ascii="宋体" w:hAnsi="宋体" w:eastAsia="宋体"/>
                <w:sz w:val="24"/>
                <w:szCs w:val="24"/>
              </w:rPr>
              <w:t>第二节 洛特卡定律的发展；</w:t>
            </w:r>
          </w:p>
          <w:p w14:paraId="0E458DFA">
            <w:pPr>
              <w:rPr>
                <w:rFonts w:ascii="宋体" w:hAnsi="宋体" w:eastAsia="宋体"/>
                <w:sz w:val="24"/>
                <w:szCs w:val="24"/>
              </w:rPr>
            </w:pPr>
            <w:r>
              <w:rPr>
                <w:rFonts w:hint="eastAsia" w:ascii="宋体" w:hAnsi="宋体" w:eastAsia="宋体"/>
                <w:sz w:val="24"/>
                <w:szCs w:val="24"/>
              </w:rPr>
              <w:t>第三节 洛特卡定律的应用</w:t>
            </w:r>
          </w:p>
        </w:tc>
        <w:tc>
          <w:tcPr>
            <w:tcW w:w="5096" w:type="dxa"/>
            <w:vAlign w:val="center"/>
          </w:tcPr>
          <w:p w14:paraId="7696EDEA">
            <w:pPr>
              <w:rPr>
                <w:rFonts w:ascii="宋体" w:hAnsi="宋体" w:eastAsia="宋体"/>
                <w:sz w:val="24"/>
                <w:szCs w:val="24"/>
              </w:rPr>
            </w:pPr>
            <w:r>
              <w:rPr>
                <w:rFonts w:hint="eastAsia" w:ascii="宋体" w:hAnsi="宋体" w:eastAsia="宋体"/>
                <w:sz w:val="24"/>
                <w:szCs w:val="24"/>
              </w:rPr>
              <w:t>文献信息作者分布规律。洛特卡定律的形成和基本内容；洛特卡定律的发展；洛特卡定律的应用等。</w:t>
            </w:r>
          </w:p>
        </w:tc>
        <w:tc>
          <w:tcPr>
            <w:tcW w:w="5096" w:type="dxa"/>
            <w:vAlign w:val="center"/>
          </w:tcPr>
          <w:p w14:paraId="0FB9C61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8F15579">
            <w:pPr>
              <w:rPr>
                <w:rFonts w:ascii="宋体" w:hAnsi="宋体" w:eastAsia="宋体"/>
                <w:sz w:val="24"/>
                <w:szCs w:val="24"/>
              </w:rPr>
            </w:pPr>
            <w:r>
              <w:rPr>
                <w:rFonts w:hint="eastAsia" w:ascii="宋体" w:hAnsi="宋体" w:eastAsia="宋体"/>
                <w:sz w:val="24"/>
                <w:szCs w:val="24"/>
              </w:rPr>
              <w:t>在核心作者分布规律讲授中，融入爱国科学家的案例，增强学社的爱国意识，融入社会主义核心价值观教育。</w:t>
            </w:r>
          </w:p>
        </w:tc>
        <w:tc>
          <w:tcPr>
            <w:tcW w:w="5096" w:type="dxa"/>
            <w:vAlign w:val="center"/>
          </w:tcPr>
          <w:p w14:paraId="713F416B">
            <w:pPr>
              <w:rPr>
                <w:rFonts w:ascii="宋体" w:hAnsi="宋体" w:eastAsia="宋体"/>
                <w:sz w:val="24"/>
                <w:szCs w:val="24"/>
              </w:rPr>
            </w:pPr>
            <w:r>
              <w:rPr>
                <w:rFonts w:hint="eastAsia" w:ascii="宋体" w:hAnsi="宋体" w:eastAsia="宋体"/>
                <w:sz w:val="24"/>
                <w:szCs w:val="24"/>
              </w:rPr>
              <w:t>重点：洛特卡定律的基础数学模型。</w:t>
            </w:r>
          </w:p>
        </w:tc>
        <w:tc>
          <w:tcPr>
            <w:tcW w:w="1555" w:type="dxa"/>
            <w:vAlign w:val="center"/>
          </w:tcPr>
          <w:p w14:paraId="5AB5DF66">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1051D250">
            <w:pPr>
              <w:rPr>
                <w:rFonts w:ascii="宋体" w:hAnsi="宋体" w:eastAsia="宋体"/>
                <w:sz w:val="24"/>
                <w:szCs w:val="24"/>
              </w:rPr>
            </w:pPr>
          </w:p>
        </w:tc>
      </w:tr>
      <w:tr w14:paraId="122DA821">
        <w:tblPrEx>
          <w:tblCellMar>
            <w:top w:w="0" w:type="dxa"/>
            <w:left w:w="108" w:type="dxa"/>
            <w:bottom w:w="0" w:type="dxa"/>
            <w:right w:w="108" w:type="dxa"/>
          </w:tblCellMar>
        </w:tblPrEx>
        <w:trPr>
          <w:trHeight w:val="615" w:hRule="atLeast"/>
          <w:jc w:val="center"/>
        </w:trPr>
        <w:tc>
          <w:tcPr>
            <w:tcW w:w="5096" w:type="dxa"/>
            <w:vAlign w:val="center"/>
          </w:tcPr>
          <w:p w14:paraId="59A9D638">
            <w:pPr>
              <w:rPr>
                <w:rFonts w:ascii="宋体" w:hAnsi="宋体" w:eastAsia="宋体"/>
                <w:sz w:val="24"/>
                <w:szCs w:val="24"/>
              </w:rPr>
            </w:pPr>
            <w:r>
              <w:rPr>
                <w:rFonts w:hint="eastAsia" w:ascii="宋体" w:hAnsi="宋体" w:eastAsia="宋体"/>
                <w:sz w:val="24"/>
                <w:szCs w:val="24"/>
              </w:rPr>
              <w:t>第六章  布－齐－洛分布定律综合实践</w:t>
            </w:r>
          </w:p>
        </w:tc>
        <w:tc>
          <w:tcPr>
            <w:tcW w:w="5096" w:type="dxa"/>
            <w:vAlign w:val="center"/>
          </w:tcPr>
          <w:p w14:paraId="12970EEE">
            <w:pPr>
              <w:rPr>
                <w:rFonts w:ascii="宋体" w:hAnsi="宋体" w:eastAsia="宋体"/>
                <w:sz w:val="24"/>
                <w:szCs w:val="24"/>
              </w:rPr>
            </w:pPr>
            <w:r>
              <w:rPr>
                <w:rFonts w:hint="eastAsia" w:ascii="宋体" w:hAnsi="宋体" w:eastAsia="宋体"/>
                <w:sz w:val="24"/>
                <w:szCs w:val="24"/>
              </w:rPr>
              <w:t>布－齐－洛分布的机理分析与综合应用</w:t>
            </w:r>
          </w:p>
        </w:tc>
        <w:tc>
          <w:tcPr>
            <w:tcW w:w="5096" w:type="dxa"/>
            <w:vAlign w:val="center"/>
          </w:tcPr>
          <w:p w14:paraId="3FC3721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E9C00DB">
            <w:pPr>
              <w:rPr>
                <w:rFonts w:ascii="宋体" w:hAnsi="宋体" w:eastAsia="宋体"/>
                <w:sz w:val="24"/>
                <w:szCs w:val="24"/>
              </w:rPr>
            </w:pPr>
            <w:r>
              <w:rPr>
                <w:rFonts w:hint="eastAsia" w:ascii="宋体" w:hAnsi="宋体" w:eastAsia="宋体"/>
                <w:sz w:val="24"/>
                <w:szCs w:val="24"/>
              </w:rPr>
              <w:t>在综合实践和应用中，融入观察、想象、思考、判断、推理、逻辑等科学素养教育内容，提升学生的科学思维和科学伦理意识。启发学生的爱国意识，增强文化自信。</w:t>
            </w:r>
          </w:p>
        </w:tc>
        <w:tc>
          <w:tcPr>
            <w:tcW w:w="5096" w:type="dxa"/>
            <w:vAlign w:val="center"/>
          </w:tcPr>
          <w:p w14:paraId="1537355A">
            <w:pPr>
              <w:rPr>
                <w:rFonts w:ascii="宋体" w:hAnsi="宋体" w:eastAsia="宋体"/>
                <w:sz w:val="24"/>
                <w:szCs w:val="24"/>
              </w:rPr>
            </w:pPr>
            <w:r>
              <w:rPr>
                <w:rFonts w:hint="eastAsia" w:ascii="宋体" w:hAnsi="宋体" w:eastAsia="宋体"/>
                <w:sz w:val="24"/>
                <w:szCs w:val="24"/>
              </w:rPr>
              <w:t>重点：理解三大定律的实践发展；</w:t>
            </w:r>
          </w:p>
          <w:p w14:paraId="2D79A2CE">
            <w:pPr>
              <w:rPr>
                <w:rFonts w:ascii="宋体" w:hAnsi="宋体" w:eastAsia="宋体"/>
                <w:sz w:val="24"/>
                <w:szCs w:val="24"/>
              </w:rPr>
            </w:pPr>
            <w:r>
              <w:rPr>
                <w:rFonts w:hint="eastAsia" w:ascii="宋体" w:hAnsi="宋体" w:eastAsia="宋体"/>
                <w:sz w:val="24"/>
                <w:szCs w:val="24"/>
              </w:rPr>
              <w:t>难点：综合运用</w:t>
            </w:r>
          </w:p>
        </w:tc>
        <w:tc>
          <w:tcPr>
            <w:tcW w:w="1555" w:type="dxa"/>
            <w:vAlign w:val="center"/>
          </w:tcPr>
          <w:p w14:paraId="0FF4DAC6">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1E01B9B8">
            <w:pPr>
              <w:rPr>
                <w:rFonts w:ascii="宋体" w:hAnsi="宋体" w:eastAsia="宋体"/>
                <w:sz w:val="24"/>
                <w:szCs w:val="24"/>
              </w:rPr>
            </w:pPr>
          </w:p>
        </w:tc>
      </w:tr>
      <w:tr w14:paraId="376D8B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989DCA">
            <w:pPr>
              <w:rPr>
                <w:rFonts w:ascii="宋体" w:hAnsi="宋体" w:eastAsia="宋体"/>
                <w:sz w:val="24"/>
                <w:szCs w:val="24"/>
              </w:rPr>
            </w:pPr>
            <w:r>
              <w:rPr>
                <w:rFonts w:hint="eastAsia" w:ascii="宋体" w:hAnsi="宋体" w:eastAsia="宋体"/>
                <w:sz w:val="24"/>
                <w:szCs w:val="24"/>
              </w:rPr>
              <w:t>第七章 引文分析法</w:t>
            </w:r>
          </w:p>
          <w:p w14:paraId="0E6B4D50">
            <w:pPr>
              <w:rPr>
                <w:rFonts w:ascii="宋体" w:hAnsi="宋体" w:eastAsia="宋体"/>
                <w:sz w:val="24"/>
                <w:szCs w:val="24"/>
              </w:rPr>
            </w:pPr>
            <w:r>
              <w:rPr>
                <w:rFonts w:hint="eastAsia" w:ascii="宋体" w:hAnsi="宋体" w:eastAsia="宋体"/>
                <w:sz w:val="24"/>
                <w:szCs w:val="24"/>
              </w:rPr>
              <w:t>第一节 引文分析基础；</w:t>
            </w:r>
          </w:p>
          <w:p w14:paraId="09D60C1E">
            <w:pPr>
              <w:rPr>
                <w:rFonts w:ascii="宋体" w:hAnsi="宋体" w:eastAsia="宋体"/>
                <w:sz w:val="24"/>
                <w:szCs w:val="24"/>
              </w:rPr>
            </w:pPr>
            <w:r>
              <w:rPr>
                <w:rFonts w:hint="eastAsia" w:ascii="宋体" w:hAnsi="宋体" w:eastAsia="宋体"/>
                <w:sz w:val="24"/>
                <w:szCs w:val="24"/>
              </w:rPr>
              <w:t>第二节 引文分析机理；</w:t>
            </w:r>
          </w:p>
          <w:p w14:paraId="1A9E2A66">
            <w:pPr>
              <w:rPr>
                <w:rFonts w:ascii="宋体" w:hAnsi="宋体" w:eastAsia="宋体"/>
                <w:sz w:val="24"/>
                <w:szCs w:val="24"/>
              </w:rPr>
            </w:pPr>
            <w:r>
              <w:rPr>
                <w:rFonts w:hint="eastAsia" w:ascii="宋体" w:hAnsi="宋体" w:eastAsia="宋体"/>
                <w:sz w:val="24"/>
                <w:szCs w:val="24"/>
              </w:rPr>
              <w:t>第三节 引文测度指标；</w:t>
            </w:r>
          </w:p>
        </w:tc>
        <w:tc>
          <w:tcPr>
            <w:tcW w:w="5096" w:type="dxa"/>
            <w:vAlign w:val="center"/>
          </w:tcPr>
          <w:p w14:paraId="20A584A7">
            <w:pPr>
              <w:rPr>
                <w:rFonts w:ascii="宋体" w:hAnsi="宋体" w:eastAsia="宋体"/>
                <w:sz w:val="24"/>
                <w:szCs w:val="24"/>
              </w:rPr>
            </w:pPr>
            <w:r>
              <w:rPr>
                <w:rFonts w:hint="eastAsia" w:ascii="宋体" w:hAnsi="宋体" w:eastAsia="宋体"/>
                <w:sz w:val="24"/>
                <w:szCs w:val="24"/>
              </w:rPr>
              <w:t>引文分析法。引文分析基础；引文分析机理等。</w:t>
            </w:r>
          </w:p>
        </w:tc>
        <w:tc>
          <w:tcPr>
            <w:tcW w:w="5096" w:type="dxa"/>
            <w:vAlign w:val="center"/>
          </w:tcPr>
          <w:p w14:paraId="38255FC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4E0D97A">
            <w:pPr>
              <w:rPr>
                <w:rFonts w:ascii="宋体" w:hAnsi="宋体" w:eastAsia="宋体"/>
                <w:sz w:val="24"/>
                <w:szCs w:val="24"/>
              </w:rPr>
            </w:pPr>
            <w:r>
              <w:rPr>
                <w:rFonts w:hint="eastAsia" w:ascii="宋体" w:hAnsi="宋体" w:eastAsia="宋体"/>
                <w:sz w:val="24"/>
                <w:szCs w:val="24"/>
              </w:rPr>
              <w:t>在引文分析的指标中，融入矛盾对立统一、普遍联系等马克思主义哲学思想。</w:t>
            </w:r>
          </w:p>
        </w:tc>
        <w:tc>
          <w:tcPr>
            <w:tcW w:w="5096" w:type="dxa"/>
            <w:vAlign w:val="center"/>
          </w:tcPr>
          <w:p w14:paraId="0FD908E0">
            <w:pPr>
              <w:rPr>
                <w:rFonts w:ascii="宋体" w:hAnsi="宋体" w:eastAsia="宋体"/>
                <w:sz w:val="24"/>
                <w:szCs w:val="24"/>
              </w:rPr>
            </w:pPr>
            <w:r>
              <w:rPr>
                <w:rFonts w:hint="eastAsia" w:ascii="宋体" w:hAnsi="宋体" w:eastAsia="宋体"/>
                <w:sz w:val="24"/>
                <w:szCs w:val="24"/>
              </w:rPr>
              <w:t>重点：引文分析机理；</w:t>
            </w:r>
          </w:p>
          <w:p w14:paraId="6B02E305">
            <w:pPr>
              <w:rPr>
                <w:rFonts w:ascii="宋体" w:hAnsi="宋体" w:eastAsia="宋体"/>
                <w:sz w:val="24"/>
                <w:szCs w:val="24"/>
              </w:rPr>
            </w:pPr>
            <w:r>
              <w:rPr>
                <w:rFonts w:hint="eastAsia" w:ascii="宋体" w:hAnsi="宋体" w:eastAsia="宋体"/>
                <w:sz w:val="24"/>
                <w:szCs w:val="24"/>
              </w:rPr>
              <w:t>难点：引文测度指标</w:t>
            </w:r>
          </w:p>
        </w:tc>
        <w:tc>
          <w:tcPr>
            <w:tcW w:w="1555" w:type="dxa"/>
            <w:vAlign w:val="center"/>
          </w:tcPr>
          <w:p w14:paraId="79168B3E">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37B2D82D">
            <w:pPr>
              <w:rPr>
                <w:rFonts w:ascii="宋体" w:hAnsi="宋体" w:eastAsia="宋体"/>
                <w:sz w:val="24"/>
                <w:szCs w:val="24"/>
              </w:rPr>
            </w:pPr>
          </w:p>
        </w:tc>
      </w:tr>
      <w:tr w14:paraId="4855AE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1B00683">
            <w:pPr>
              <w:rPr>
                <w:rFonts w:ascii="宋体" w:hAnsi="宋体" w:eastAsia="宋体"/>
                <w:sz w:val="24"/>
                <w:szCs w:val="24"/>
              </w:rPr>
            </w:pPr>
            <w:r>
              <w:rPr>
                <w:rFonts w:hint="eastAsia" w:ascii="宋体" w:hAnsi="宋体" w:eastAsia="宋体"/>
                <w:sz w:val="24"/>
                <w:szCs w:val="24"/>
              </w:rPr>
              <w:t>第七章  引文分析法</w:t>
            </w:r>
          </w:p>
          <w:p w14:paraId="5FBB82BF">
            <w:pPr>
              <w:rPr>
                <w:rFonts w:ascii="宋体" w:hAnsi="宋体" w:eastAsia="宋体"/>
                <w:sz w:val="24"/>
                <w:szCs w:val="24"/>
              </w:rPr>
            </w:pPr>
            <w:r>
              <w:rPr>
                <w:rFonts w:hint="eastAsia" w:ascii="宋体" w:hAnsi="宋体" w:eastAsia="宋体"/>
                <w:sz w:val="24"/>
                <w:szCs w:val="24"/>
              </w:rPr>
              <w:t>第一节 科学期刊的引文分析；</w:t>
            </w:r>
          </w:p>
          <w:p w14:paraId="5041CDC2">
            <w:pPr>
              <w:rPr>
                <w:rFonts w:ascii="宋体" w:hAnsi="宋体" w:eastAsia="宋体"/>
                <w:sz w:val="24"/>
                <w:szCs w:val="24"/>
              </w:rPr>
            </w:pPr>
            <w:r>
              <w:rPr>
                <w:rFonts w:hint="eastAsia" w:ascii="宋体" w:hAnsi="宋体" w:eastAsia="宋体"/>
                <w:sz w:val="24"/>
                <w:szCs w:val="24"/>
              </w:rPr>
              <w:t>第二节 引文网络分析；</w:t>
            </w:r>
          </w:p>
          <w:p w14:paraId="6D9D68BD">
            <w:pPr>
              <w:rPr>
                <w:rFonts w:ascii="宋体" w:hAnsi="宋体" w:eastAsia="宋体"/>
                <w:sz w:val="24"/>
                <w:szCs w:val="24"/>
              </w:rPr>
            </w:pPr>
            <w:r>
              <w:rPr>
                <w:rFonts w:hint="eastAsia" w:ascii="宋体" w:hAnsi="宋体" w:eastAsia="宋体"/>
                <w:sz w:val="24"/>
                <w:szCs w:val="24"/>
              </w:rPr>
              <w:t>第三节 引文分析法的应用等。</w:t>
            </w:r>
          </w:p>
        </w:tc>
        <w:tc>
          <w:tcPr>
            <w:tcW w:w="5096" w:type="dxa"/>
            <w:vAlign w:val="center"/>
          </w:tcPr>
          <w:p w14:paraId="1ADEE8E7">
            <w:pPr>
              <w:rPr>
                <w:rFonts w:ascii="宋体" w:hAnsi="宋体" w:eastAsia="宋体"/>
                <w:sz w:val="24"/>
                <w:szCs w:val="24"/>
              </w:rPr>
            </w:pPr>
            <w:r>
              <w:rPr>
                <w:rFonts w:hint="eastAsia" w:ascii="宋体" w:hAnsi="宋体" w:eastAsia="宋体"/>
                <w:sz w:val="24"/>
                <w:szCs w:val="24"/>
              </w:rPr>
              <w:t>引文分析法。科学期刊的引文分析；评价期刊的主要测度指标；引文分析法的应用等。</w:t>
            </w:r>
          </w:p>
        </w:tc>
        <w:tc>
          <w:tcPr>
            <w:tcW w:w="5096" w:type="dxa"/>
            <w:vAlign w:val="center"/>
          </w:tcPr>
          <w:p w14:paraId="395E200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CCCBEB3">
            <w:pPr>
              <w:rPr>
                <w:rFonts w:ascii="宋体" w:hAnsi="宋体" w:eastAsia="宋体"/>
                <w:sz w:val="24"/>
                <w:szCs w:val="24"/>
              </w:rPr>
            </w:pPr>
            <w:r>
              <w:rPr>
                <w:rFonts w:hint="eastAsia" w:ascii="宋体" w:hAnsi="宋体" w:eastAsia="宋体"/>
                <w:sz w:val="24"/>
                <w:szCs w:val="24"/>
              </w:rPr>
              <w:t>结合期刊影响因子等，讲授引文分析在科技评价中的作用。融入我国推进科技评价和管理体制改革，建设科技强国的战略自信。</w:t>
            </w:r>
          </w:p>
        </w:tc>
        <w:tc>
          <w:tcPr>
            <w:tcW w:w="5096" w:type="dxa"/>
            <w:vAlign w:val="center"/>
          </w:tcPr>
          <w:p w14:paraId="2DF90416">
            <w:pPr>
              <w:rPr>
                <w:rFonts w:ascii="宋体" w:hAnsi="宋体" w:eastAsia="宋体"/>
                <w:sz w:val="24"/>
                <w:szCs w:val="24"/>
              </w:rPr>
            </w:pPr>
            <w:r>
              <w:rPr>
                <w:rFonts w:hint="eastAsia" w:ascii="宋体" w:hAnsi="宋体" w:eastAsia="宋体"/>
                <w:sz w:val="24"/>
                <w:szCs w:val="24"/>
              </w:rPr>
              <w:t>重点：引文网络分析；</w:t>
            </w:r>
          </w:p>
          <w:p w14:paraId="3FF29B45">
            <w:pPr>
              <w:rPr>
                <w:rFonts w:ascii="宋体" w:hAnsi="宋体" w:eastAsia="宋体"/>
                <w:sz w:val="24"/>
                <w:szCs w:val="24"/>
              </w:rPr>
            </w:pPr>
            <w:r>
              <w:rPr>
                <w:rFonts w:hint="eastAsia" w:ascii="宋体" w:hAnsi="宋体" w:eastAsia="宋体"/>
                <w:sz w:val="24"/>
                <w:szCs w:val="24"/>
              </w:rPr>
              <w:t>难点：引文网络分析的应用</w:t>
            </w:r>
          </w:p>
        </w:tc>
        <w:tc>
          <w:tcPr>
            <w:tcW w:w="1555" w:type="dxa"/>
            <w:vAlign w:val="center"/>
          </w:tcPr>
          <w:p w14:paraId="6136D479">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39F0A1D4">
            <w:pPr>
              <w:rPr>
                <w:rFonts w:ascii="宋体" w:hAnsi="宋体" w:eastAsia="宋体"/>
                <w:sz w:val="24"/>
                <w:szCs w:val="24"/>
              </w:rPr>
            </w:pPr>
          </w:p>
        </w:tc>
      </w:tr>
      <w:tr w14:paraId="58D3D0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5A1853">
            <w:pPr>
              <w:rPr>
                <w:rFonts w:ascii="宋体" w:hAnsi="宋体" w:eastAsia="宋体"/>
                <w:sz w:val="24"/>
                <w:szCs w:val="24"/>
              </w:rPr>
            </w:pPr>
            <w:r>
              <w:rPr>
                <w:rFonts w:hint="eastAsia" w:ascii="宋体" w:hAnsi="宋体" w:eastAsia="宋体"/>
                <w:sz w:val="24"/>
                <w:szCs w:val="24"/>
              </w:rPr>
              <w:t>第八章  Altmetrics及其应用</w:t>
            </w:r>
          </w:p>
          <w:p w14:paraId="78635805">
            <w:pPr>
              <w:rPr>
                <w:rFonts w:ascii="宋体" w:hAnsi="宋体" w:eastAsia="宋体"/>
                <w:sz w:val="24"/>
                <w:szCs w:val="24"/>
              </w:rPr>
            </w:pPr>
            <w:r>
              <w:rPr>
                <w:rFonts w:hint="eastAsia" w:ascii="宋体" w:hAnsi="宋体" w:eastAsia="宋体"/>
                <w:sz w:val="24"/>
                <w:szCs w:val="24"/>
              </w:rPr>
              <w:t>第一节 Altmetrics基本概念；</w:t>
            </w:r>
          </w:p>
          <w:p w14:paraId="6A34AD0D">
            <w:pPr>
              <w:rPr>
                <w:rFonts w:ascii="宋体" w:hAnsi="宋体" w:eastAsia="宋体"/>
                <w:sz w:val="24"/>
                <w:szCs w:val="24"/>
              </w:rPr>
            </w:pPr>
            <w:r>
              <w:rPr>
                <w:rFonts w:hint="eastAsia" w:ascii="宋体" w:hAnsi="宋体" w:eastAsia="宋体"/>
                <w:sz w:val="24"/>
                <w:szCs w:val="24"/>
              </w:rPr>
              <w:t>第二节 Altmetrics基本特征与指标分析</w:t>
            </w:r>
          </w:p>
          <w:p w14:paraId="2C9064A2">
            <w:pPr>
              <w:rPr>
                <w:rFonts w:ascii="宋体" w:hAnsi="宋体" w:eastAsia="宋体"/>
                <w:sz w:val="24"/>
                <w:szCs w:val="24"/>
              </w:rPr>
            </w:pPr>
            <w:r>
              <w:rPr>
                <w:rFonts w:hint="eastAsia" w:ascii="宋体" w:hAnsi="宋体" w:eastAsia="宋体"/>
                <w:sz w:val="24"/>
                <w:szCs w:val="24"/>
              </w:rPr>
              <w:t>第三节 Altmetrics应用案例分析</w:t>
            </w:r>
          </w:p>
        </w:tc>
        <w:tc>
          <w:tcPr>
            <w:tcW w:w="5096" w:type="dxa"/>
            <w:vAlign w:val="center"/>
          </w:tcPr>
          <w:p w14:paraId="75A482D9">
            <w:pPr>
              <w:rPr>
                <w:rFonts w:ascii="宋体" w:hAnsi="宋体" w:eastAsia="宋体"/>
                <w:sz w:val="24"/>
                <w:szCs w:val="24"/>
              </w:rPr>
            </w:pPr>
            <w:r>
              <w:rPr>
                <w:rFonts w:hint="eastAsia" w:ascii="宋体" w:hAnsi="宋体" w:eastAsia="宋体"/>
                <w:sz w:val="24"/>
                <w:szCs w:val="24"/>
              </w:rPr>
              <w:t>Altmetrics基本概念、特征与指标分析等。</w:t>
            </w:r>
          </w:p>
        </w:tc>
        <w:tc>
          <w:tcPr>
            <w:tcW w:w="5096" w:type="dxa"/>
            <w:vAlign w:val="center"/>
          </w:tcPr>
          <w:p w14:paraId="710DC72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1109508">
            <w:pPr>
              <w:rPr>
                <w:rFonts w:ascii="宋体" w:hAnsi="宋体" w:eastAsia="宋体"/>
                <w:sz w:val="24"/>
                <w:szCs w:val="24"/>
              </w:rPr>
            </w:pPr>
            <w:r>
              <w:rPr>
                <w:rFonts w:hint="eastAsia" w:ascii="宋体" w:hAnsi="宋体" w:eastAsia="宋体"/>
                <w:sz w:val="24"/>
                <w:szCs w:val="24"/>
              </w:rPr>
              <w:t>通过讲授如何运用Altmetrics指标进行学术成果的社会影响力分析，融入提升我国学术话语权和文化自信教育。</w:t>
            </w:r>
          </w:p>
        </w:tc>
        <w:tc>
          <w:tcPr>
            <w:tcW w:w="5096" w:type="dxa"/>
            <w:vAlign w:val="center"/>
          </w:tcPr>
          <w:p w14:paraId="7CA0AE5D">
            <w:pPr>
              <w:rPr>
                <w:rFonts w:ascii="宋体" w:hAnsi="宋体" w:eastAsia="宋体"/>
                <w:sz w:val="24"/>
                <w:szCs w:val="24"/>
              </w:rPr>
            </w:pPr>
            <w:r>
              <w:rPr>
                <w:rFonts w:hint="eastAsia" w:ascii="宋体" w:hAnsi="宋体" w:eastAsia="宋体"/>
                <w:sz w:val="24"/>
                <w:szCs w:val="24"/>
              </w:rPr>
              <w:t>重点：Altmetrics基本概念与特征；</w:t>
            </w:r>
          </w:p>
          <w:p w14:paraId="4AC183F8">
            <w:pPr>
              <w:rPr>
                <w:rFonts w:ascii="宋体" w:hAnsi="宋体" w:eastAsia="宋体"/>
                <w:sz w:val="24"/>
                <w:szCs w:val="24"/>
              </w:rPr>
            </w:pPr>
            <w:r>
              <w:rPr>
                <w:rFonts w:hint="eastAsia" w:ascii="宋体" w:hAnsi="宋体" w:eastAsia="宋体"/>
                <w:sz w:val="24"/>
                <w:szCs w:val="24"/>
              </w:rPr>
              <w:t>难点：Altmetrics指标测度与应用</w:t>
            </w:r>
          </w:p>
        </w:tc>
        <w:tc>
          <w:tcPr>
            <w:tcW w:w="1555" w:type="dxa"/>
            <w:vAlign w:val="center"/>
          </w:tcPr>
          <w:p w14:paraId="207D921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714EEFCD">
            <w:pPr>
              <w:rPr>
                <w:rFonts w:ascii="宋体" w:hAnsi="宋体" w:eastAsia="宋体"/>
                <w:sz w:val="24"/>
                <w:szCs w:val="24"/>
              </w:rPr>
            </w:pPr>
          </w:p>
        </w:tc>
      </w:tr>
      <w:tr w14:paraId="066A83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DF8E54">
            <w:pPr>
              <w:rPr>
                <w:rFonts w:ascii="宋体" w:hAnsi="宋体" w:eastAsia="宋体"/>
                <w:sz w:val="24"/>
                <w:szCs w:val="24"/>
              </w:rPr>
            </w:pPr>
            <w:r>
              <w:rPr>
                <w:rFonts w:hint="eastAsia" w:ascii="宋体" w:hAnsi="宋体" w:eastAsia="宋体"/>
                <w:sz w:val="24"/>
                <w:szCs w:val="24"/>
              </w:rPr>
              <w:t>考试</w:t>
            </w:r>
          </w:p>
        </w:tc>
        <w:tc>
          <w:tcPr>
            <w:tcW w:w="5096" w:type="dxa"/>
            <w:vAlign w:val="center"/>
          </w:tcPr>
          <w:p w14:paraId="26B9E82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AE0718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62A1AF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8F1F37A">
            <w:pPr>
              <w:rPr>
                <w:rFonts w:ascii="宋体" w:hAnsi="宋体" w:eastAsia="宋体"/>
                <w:sz w:val="24"/>
                <w:szCs w:val="24"/>
              </w:rPr>
            </w:pPr>
          </w:p>
        </w:tc>
        <w:tc>
          <w:tcPr>
            <w:tcW w:w="1555" w:type="dxa"/>
            <w:vAlign w:val="center"/>
          </w:tcPr>
          <w:p w14:paraId="05827D60">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05C87915">
            <w:pPr>
              <w:rPr>
                <w:rFonts w:ascii="宋体" w:hAnsi="宋体" w:eastAsia="宋体"/>
                <w:sz w:val="24"/>
                <w:szCs w:val="24"/>
              </w:rPr>
            </w:pPr>
          </w:p>
        </w:tc>
      </w:tr>
    </w:tbl>
    <w:p w14:paraId="3B36BADB">
      <w:pPr>
        <w:spacing w:line="480" w:lineRule="exact"/>
        <w:ind w:firstLine="360" w:firstLineChars="150"/>
        <w:rPr>
          <w:rFonts w:hint="eastAsia"/>
          <w:sz w:val="24"/>
        </w:rPr>
      </w:pPr>
      <w:r>
        <w:rPr>
          <w:sz w:val="24"/>
        </w:rPr>
        <w:t>合计:54</w:t>
      </w:r>
    </w:p>
    <w:p w14:paraId="689A1FA6">
      <w:pPr>
        <w:spacing w:line="480" w:lineRule="exact"/>
        <w:rPr>
          <w:sz w:val="24"/>
        </w:rPr>
      </w:pPr>
    </w:p>
    <w:p w14:paraId="0564613F">
      <w:pPr>
        <w:spacing w:line="480" w:lineRule="exact"/>
        <w:rPr>
          <w:rFonts w:hint="eastAsia"/>
          <w:sz w:val="24"/>
        </w:rPr>
      </w:pPr>
    </w:p>
    <w:p w14:paraId="5947B9D4">
      <w:pPr>
        <w:spacing w:line="480" w:lineRule="exact"/>
        <w:ind w:firstLine="480" w:firstLineChars="200"/>
        <w:rPr>
          <w:sz w:val="24"/>
        </w:rPr>
      </w:pPr>
      <w:r>
        <w:rPr>
          <w:sz w:val="24"/>
        </w:rPr>
        <w:t>（二）</w:t>
      </w:r>
      <w:r>
        <w:rPr>
          <w:b/>
          <w:sz w:val="24"/>
        </w:rPr>
        <w:t>教学环节安排</w:t>
      </w:r>
    </w:p>
    <w:p w14:paraId="70449F91">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FC54D80">
      <w:pPr>
        <w:spacing w:line="480" w:lineRule="exact"/>
        <w:ind w:firstLine="360" w:firstLineChars="150"/>
        <w:rPr>
          <w:rFonts w:hint="eastAsia"/>
          <w:sz w:val="24"/>
        </w:rPr>
      </w:pPr>
      <w:r>
        <w:rPr>
          <w:sz w:val="24"/>
        </w:rPr>
        <w:t>本课程综合采用课堂讲授、课后习题以及分组研究报告相结合的方法，培养学生系统、严密地分析问题和解决问题的思维能力，并掌握利用文献计量学方法解决实际问题的基本技能。</w:t>
      </w:r>
    </w:p>
    <w:p w14:paraId="7D301614">
      <w:pPr>
        <w:spacing w:line="480" w:lineRule="exact"/>
        <w:ind w:firstLine="360" w:firstLineChars="150"/>
        <w:rPr>
          <w:rFonts w:hint="eastAsia"/>
          <w:sz w:val="24"/>
        </w:rPr>
      </w:pPr>
      <w:r>
        <w:rPr>
          <w:sz w:val="24"/>
        </w:rPr>
        <w:t>除了课堂讲授之外，组织学生完成课外练习与课堂讨论是十分必要且有益的。本课程将在学期开始，将学生分成不同小组，安排小组课题研究。并在期中时间进行课堂展示报告。此外，还将在前后两个半学期，布置学生独立进行2次课外练习，根据要求完成两篇3000字以上的小论文。</w:t>
      </w:r>
    </w:p>
    <w:p w14:paraId="430A37CC">
      <w:pPr>
        <w:spacing w:line="480" w:lineRule="exact"/>
        <w:rPr>
          <w:sz w:val="24"/>
        </w:rPr>
      </w:pPr>
    </w:p>
    <w:p w14:paraId="373375E9">
      <w:pPr>
        <w:spacing w:line="480" w:lineRule="exact"/>
        <w:ind w:firstLine="480" w:firstLineChars="200"/>
        <w:rPr>
          <w:rFonts w:hint="eastAsia"/>
          <w:sz w:val="24"/>
        </w:rPr>
      </w:pPr>
      <w:r>
        <w:rPr>
          <w:sz w:val="24"/>
        </w:rPr>
        <w:t>（三）</w:t>
      </w:r>
      <w:r>
        <w:rPr>
          <w:b/>
          <w:sz w:val="24"/>
        </w:rPr>
        <w:t>教学方法</w:t>
      </w:r>
    </w:p>
    <w:p w14:paraId="1F87E352">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A53B4E0">
      <w:pPr>
        <w:spacing w:line="480" w:lineRule="exact"/>
        <w:ind w:firstLine="360" w:firstLineChars="150"/>
        <w:rPr>
          <w:rFonts w:hint="eastAsia"/>
          <w:sz w:val="24"/>
        </w:rPr>
      </w:pPr>
      <w:r>
        <w:rPr>
          <w:sz w:val="24"/>
        </w:rPr>
        <w:t>1. 课堂讲授。具体内容安排见上文。注重AI“人机协作”辅助课程教授与学习。</w:t>
      </w:r>
    </w:p>
    <w:p w14:paraId="4E0DB277">
      <w:pPr>
        <w:spacing w:line="480" w:lineRule="exact"/>
        <w:ind w:firstLine="360" w:firstLineChars="150"/>
        <w:rPr>
          <w:rFonts w:hint="eastAsia"/>
          <w:sz w:val="24"/>
        </w:rPr>
      </w:pPr>
      <w:r>
        <w:rPr>
          <w:sz w:val="24"/>
        </w:rPr>
        <w:t>2. 分组研究报告。鼓励学生通过AI“人机协作”完成高水平的课程研究项目。将学生分为若干个小组，分组独立完成一项小型课题研究，撰写研究报告，并在课堂上展示小组所取得的成果。综合报告、展示以及小组工作情况为每位学生评分。</w:t>
      </w:r>
    </w:p>
    <w:p w14:paraId="54DA6521">
      <w:pPr>
        <w:spacing w:line="480" w:lineRule="exact"/>
        <w:ind w:firstLine="360" w:firstLineChars="150"/>
        <w:rPr>
          <w:rFonts w:hint="eastAsia"/>
          <w:sz w:val="24"/>
        </w:rPr>
      </w:pPr>
      <w:r>
        <w:rPr>
          <w:sz w:val="24"/>
        </w:rPr>
        <w:t>3. 课后习题。学生根据指定选题范围，鼓励学生使用AI等前沿技术，通过“人机协同”探索数智时代文献计量学的相关研究问题。要求学生完成2篇3000字以上的课程作业，根据作业质量和完成情况为每位学生评分。</w:t>
      </w:r>
    </w:p>
    <w:p w14:paraId="59458086">
      <w:pPr>
        <w:spacing w:line="480" w:lineRule="exact"/>
        <w:ind w:firstLine="360" w:firstLineChars="150"/>
        <w:rPr>
          <w:rFonts w:hint="eastAsia"/>
          <w:sz w:val="24"/>
        </w:rPr>
      </w:pPr>
      <w:r>
        <w:rPr>
          <w:sz w:val="24"/>
        </w:rPr>
        <w:t>4. 答疑。平时学生可通过面谈、电子邮件、助教沟通等方式，与教师互动。在期末预留专门的课时用于课程复习与答疑。</w:t>
      </w:r>
    </w:p>
    <w:p w14:paraId="67E26F5D">
      <w:pPr>
        <w:spacing w:line="480" w:lineRule="exact"/>
        <w:ind w:firstLine="360" w:firstLineChars="150"/>
        <w:rPr>
          <w:sz w:val="24"/>
        </w:rPr>
      </w:pPr>
    </w:p>
    <w:p w14:paraId="65DC391A">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18CEC8B">
      <w:pPr>
        <w:spacing w:line="480" w:lineRule="exact"/>
        <w:ind w:firstLine="360" w:firstLineChars="150"/>
        <w:rPr>
          <w:sz w:val="24"/>
        </w:rPr>
      </w:pPr>
      <w:r>
        <w:rPr>
          <w:rFonts w:hint="eastAsia"/>
          <w:sz w:val="24"/>
        </w:rPr>
        <w:t>邱均平. 信息计量学概论（第二版）.武汉：武汉大学出版社，2019.</w:t>
      </w:r>
    </w:p>
    <w:p w14:paraId="1A9FB12E">
      <w:pPr>
        <w:spacing w:line="480" w:lineRule="exact"/>
        <w:ind w:firstLine="360" w:firstLineChars="150"/>
        <w:rPr>
          <w:sz w:val="24"/>
        </w:rPr>
      </w:pPr>
    </w:p>
    <w:p w14:paraId="23046639">
      <w:pPr>
        <w:spacing w:line="480" w:lineRule="exact"/>
        <w:ind w:firstLine="480" w:firstLineChars="200"/>
        <w:rPr>
          <w:sz w:val="24"/>
        </w:rPr>
      </w:pPr>
      <w:r>
        <w:rPr>
          <w:sz w:val="24"/>
        </w:rPr>
        <w:t>（五）</w:t>
      </w:r>
      <w:r>
        <w:rPr>
          <w:b/>
          <w:sz w:val="24"/>
        </w:rPr>
        <w:t>主要参考书目</w:t>
      </w:r>
    </w:p>
    <w:p w14:paraId="0503F16F">
      <w:pPr>
        <w:spacing w:line="480" w:lineRule="exact"/>
        <w:ind w:firstLine="482" w:firstLineChars="200"/>
        <w:rPr>
          <w:sz w:val="24"/>
        </w:rPr>
      </w:pPr>
      <w:r>
        <w:rPr>
          <w:b/>
          <w:sz w:val="24"/>
        </w:rPr>
        <w:t>（推荐若干参考书，并注明书名、作者、出版社、版本、出版日期等，每个章节指定一定数量、明确的阅读资料）</w:t>
      </w:r>
    </w:p>
    <w:p w14:paraId="074B3E33">
      <w:pPr>
        <w:spacing w:line="480" w:lineRule="exact"/>
        <w:ind w:firstLine="360" w:firstLineChars="150"/>
        <w:rPr>
          <w:sz w:val="24"/>
        </w:rPr>
      </w:pPr>
      <w:r>
        <w:rPr>
          <w:rFonts w:hint="eastAsia"/>
          <w:sz w:val="24"/>
        </w:rPr>
        <w:t>1. 邱均平. 文献计量学（第二版）. 北京：科学出版社，2019.</w:t>
      </w:r>
    </w:p>
    <w:p w14:paraId="0B81A082">
      <w:pPr>
        <w:spacing w:line="480" w:lineRule="exact"/>
        <w:ind w:firstLine="360" w:firstLineChars="150"/>
        <w:rPr>
          <w:sz w:val="24"/>
        </w:rPr>
      </w:pPr>
      <w:r>
        <w:rPr>
          <w:rFonts w:hint="eastAsia"/>
          <w:sz w:val="24"/>
        </w:rPr>
        <w:t>2. 邱均平等. 科学计量学. 北京：科学出版社，2016</w:t>
      </w:r>
    </w:p>
    <w:p w14:paraId="3EFD263E">
      <w:pPr>
        <w:spacing w:line="480" w:lineRule="exact"/>
        <w:ind w:firstLine="360" w:firstLineChars="150"/>
        <w:rPr>
          <w:sz w:val="24"/>
        </w:rPr>
      </w:pPr>
      <w:r>
        <w:rPr>
          <w:rFonts w:hint="eastAsia"/>
          <w:sz w:val="24"/>
        </w:rPr>
        <w:t>3. 罗式胜. 文献计量学概论. 广州：中山大学出版社，1994.</w:t>
      </w:r>
    </w:p>
    <w:p w14:paraId="1E98CF2B">
      <w:pPr>
        <w:spacing w:line="480" w:lineRule="exact"/>
        <w:ind w:firstLine="360" w:firstLineChars="150"/>
        <w:rPr>
          <w:sz w:val="24"/>
        </w:rPr>
      </w:pPr>
      <w:r>
        <w:rPr>
          <w:rFonts w:hint="eastAsia"/>
          <w:sz w:val="24"/>
        </w:rPr>
        <w:t>4. 王崇德. 文献计量学引论. 桂林：广西师范大学出版社，1997.</w:t>
      </w:r>
    </w:p>
    <w:p w14:paraId="331210FB">
      <w:pPr>
        <w:spacing w:line="480" w:lineRule="exact"/>
        <w:ind w:firstLine="360" w:firstLineChars="150"/>
        <w:rPr>
          <w:sz w:val="24"/>
        </w:rPr>
      </w:pPr>
      <w:r>
        <w:rPr>
          <w:rFonts w:hint="eastAsia"/>
          <w:sz w:val="24"/>
        </w:rPr>
        <w:t>5. 丁学东. 文献计量学基础. 北京：北京大学出版社，1993.</w:t>
      </w:r>
    </w:p>
    <w:p w14:paraId="0FAEBF1B">
      <w:pPr>
        <w:spacing w:line="480" w:lineRule="exact"/>
        <w:ind w:firstLine="360" w:firstLineChars="150"/>
        <w:rPr>
          <w:sz w:val="24"/>
        </w:rPr>
      </w:pPr>
      <w:r>
        <w:rPr>
          <w:rFonts w:hint="eastAsia"/>
          <w:sz w:val="24"/>
        </w:rPr>
        <w:t>6. 庞景安. 科学计量研究方法论. 北京：科学技术文献出版社，1999.</w:t>
      </w:r>
    </w:p>
    <w:p w14:paraId="39ED89FA">
      <w:pPr>
        <w:spacing w:line="480" w:lineRule="exact"/>
        <w:ind w:firstLine="480" w:firstLineChars="200"/>
        <w:rPr>
          <w:sz w:val="24"/>
        </w:rPr>
      </w:pPr>
      <w:r>
        <w:rPr>
          <w:sz w:val="24"/>
        </w:rPr>
        <w:t>（六）</w:t>
      </w:r>
      <w:r>
        <w:rPr>
          <w:b/>
          <w:sz w:val="24"/>
        </w:rPr>
        <w:t>成绩评定方式</w:t>
      </w:r>
    </w:p>
    <w:p w14:paraId="20C126B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7A6602EE">
      <w:pPr>
        <w:spacing w:line="480" w:lineRule="exact"/>
        <w:ind w:firstLine="482" w:firstLineChars="200"/>
        <w:rPr>
          <w:sz w:val="24"/>
        </w:rPr>
      </w:pPr>
      <w:r>
        <w:rPr>
          <w:rFonts w:hint="eastAsia"/>
          <w:b/>
          <w:sz w:val="24"/>
        </w:rPr>
        <w:t>考 核 方 式：考查</w:t>
      </w:r>
    </w:p>
    <w:p w14:paraId="02664C02">
      <w:pPr>
        <w:spacing w:line="480" w:lineRule="exact"/>
        <w:ind w:firstLine="482" w:firstLineChars="200"/>
        <w:rPr>
          <w:sz w:val="24"/>
        </w:rPr>
      </w:pPr>
      <w:r>
        <w:rPr>
          <w:rFonts w:hint="eastAsia"/>
          <w:b/>
          <w:sz w:val="24"/>
        </w:rPr>
        <w:t>成绩录入方式： 百分制</w:t>
      </w:r>
    </w:p>
    <w:p w14:paraId="12A7D9BD">
      <w:pPr>
        <w:spacing w:line="480" w:lineRule="exact"/>
        <w:ind w:firstLine="360" w:firstLineChars="150"/>
        <w:rPr>
          <w:sz w:val="24"/>
        </w:rPr>
      </w:pPr>
      <w:r>
        <w:rPr>
          <w:rFonts w:hint="eastAsia"/>
          <w:sz w:val="24"/>
        </w:rPr>
        <w:t>总  成  绩＝平时成绩×50%＋期末成绩×50%</w:t>
      </w:r>
    </w:p>
    <w:p w14:paraId="77FC008F">
      <w:pPr>
        <w:spacing w:line="480" w:lineRule="exact"/>
        <w:ind w:firstLine="360" w:firstLineChars="150"/>
        <w:rPr>
          <w:sz w:val="24"/>
        </w:rPr>
      </w:pPr>
      <w:r>
        <w:rPr>
          <w:rFonts w:hint="eastAsia"/>
          <w:sz w:val="24"/>
        </w:rPr>
        <w:t>其中，</w:t>
      </w:r>
    </w:p>
    <w:p w14:paraId="25DFC3C6">
      <w:pPr>
        <w:spacing w:line="480" w:lineRule="exact"/>
        <w:ind w:firstLine="360" w:firstLineChars="150"/>
        <w:rPr>
          <w:sz w:val="24"/>
        </w:rPr>
      </w:pPr>
      <w:r>
        <w:rPr>
          <w:rFonts w:hint="eastAsia"/>
          <w:sz w:val="24"/>
        </w:rPr>
        <w:t>平时成绩＝考勤×10%＋两次课后习题×40%＋一次分组研究报告×50%</w:t>
      </w:r>
    </w:p>
    <w:p w14:paraId="6536A35D">
      <w:pPr>
        <w:spacing w:line="480" w:lineRule="exact"/>
        <w:ind w:firstLine="360" w:firstLineChars="150"/>
        <w:rPr>
          <w:sz w:val="24"/>
        </w:rPr>
      </w:pPr>
      <w:r>
        <w:rPr>
          <w:rFonts w:hint="eastAsia"/>
          <w:sz w:val="24"/>
        </w:rPr>
        <w:t>期末成绩：期末大作业×100%</w:t>
      </w:r>
    </w:p>
    <w:p w14:paraId="7A3C851E">
      <w:pPr>
        <w:spacing w:line="480" w:lineRule="exact"/>
        <w:ind w:firstLine="360" w:firstLineChars="150"/>
        <w:rPr>
          <w:sz w:val="24"/>
        </w:rPr>
      </w:pPr>
      <w:r>
        <w:rPr>
          <w:rFonts w:hint="eastAsia"/>
          <w:sz w:val="24"/>
        </w:rPr>
        <w:t>期末考核采用考查，考查内容为学生在本课程范围内，自主选择一个科学问题，阅读不少于10篇中外文文献，按照指定的格式撰写1份文献阅读报告或者研究论文。评分标准包括阅读报告或者研究论文的条理性、创新性、完整性和学术规范性。</w:t>
      </w:r>
    </w:p>
    <w:p w14:paraId="308CF7A1">
      <w:pPr>
        <w:spacing w:line="480" w:lineRule="exact"/>
        <w:rPr>
          <w:sz w:val="24"/>
        </w:rPr>
      </w:pPr>
    </w:p>
    <w:p w14:paraId="208B20C1">
      <w:pPr>
        <w:spacing w:line="480" w:lineRule="exact"/>
        <w:rPr>
          <w:sz w:val="24"/>
        </w:rPr>
      </w:pPr>
    </w:p>
    <w:p w14:paraId="465D2911">
      <w:pPr>
        <w:spacing w:line="480" w:lineRule="exact"/>
        <w:rPr>
          <w:sz w:val="24"/>
        </w:rPr>
      </w:pPr>
    </w:p>
    <w:p w14:paraId="179E774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5515802"/>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2026-04-12T06:23:16Z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21A7373676C44993B03BA95C67082F97_13</vt:lpwstr>
  </property>
</Properties>
</file>