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C9FC3C">
      <w:pPr>
        <w:spacing w:line="480" w:lineRule="exact"/>
        <w:rPr>
          <w:sz w:val="24"/>
        </w:rPr>
      </w:pPr>
      <w:bookmarkStart w:id="0" w:name="_GoBack"/>
      <w:bookmarkEnd w:id="0"/>
    </w:p>
    <w:p w14:paraId="045346C4">
      <w:pPr>
        <w:spacing w:line="1480" w:lineRule="exact"/>
        <w:jc w:val="center"/>
        <w:rPr>
          <w:rFonts w:eastAsia="楷体_GB2312"/>
          <w:b/>
          <w:bCs/>
          <w:spacing w:val="40"/>
          <w:sz w:val="72"/>
        </w:rPr>
      </w:pPr>
      <w:r>
        <w:rPr>
          <w:rFonts w:eastAsia="楷体_GB2312"/>
          <w:b/>
          <w:bCs/>
          <w:spacing w:val="40"/>
          <w:sz w:val="72"/>
        </w:rPr>
        <w:t>中山大学</w:t>
      </w:r>
    </w:p>
    <w:p w14:paraId="133B4A2C">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4950D3BD">
      <w:pPr>
        <w:spacing w:line="1480" w:lineRule="exact"/>
        <w:jc w:val="center"/>
        <w:rPr>
          <w:sz w:val="52"/>
        </w:rPr>
      </w:pPr>
    </w:p>
    <w:p w14:paraId="78F871A5">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11346FC8">
      <w:pPr>
        <w:spacing w:line="480" w:lineRule="exact"/>
        <w:ind w:firstLine="2127" w:firstLineChars="709"/>
        <w:rPr>
          <w:rFonts w:eastAsia="黑体"/>
          <w:sz w:val="30"/>
          <w:u w:val="single"/>
        </w:rPr>
      </w:pPr>
    </w:p>
    <w:p w14:paraId="564FE847">
      <w:pPr>
        <w:spacing w:line="480" w:lineRule="exact"/>
        <w:ind w:firstLine="2127" w:firstLineChars="709"/>
        <w:rPr>
          <w:sz w:val="30"/>
          <w:u w:val="single"/>
        </w:rPr>
      </w:pPr>
      <w:r>
        <w:rPr>
          <w:rFonts w:eastAsia="黑体"/>
          <w:sz w:val="30"/>
        </w:rPr>
        <w:t>课程名称</w:t>
      </w:r>
      <w:r>
        <w:rPr>
          <w:rFonts w:eastAsia="黑体"/>
          <w:sz w:val="30"/>
          <w:u w:val="single"/>
        </w:rPr>
        <w:t xml:space="preserve"> 科学交流与知识传播</w:t>
      </w:r>
    </w:p>
    <w:p w14:paraId="3F84D8A9">
      <w:pPr>
        <w:spacing w:line="900" w:lineRule="exact"/>
        <w:ind w:firstLine="3600" w:firstLineChars="1200"/>
        <w:rPr>
          <w:sz w:val="30"/>
        </w:rPr>
      </w:pPr>
    </w:p>
    <w:p w14:paraId="6A0D4CA4">
      <w:pPr>
        <w:spacing w:line="900" w:lineRule="exact"/>
        <w:jc w:val="center"/>
        <w:rPr>
          <w:rFonts w:eastAsia="仿宋_GB2312"/>
          <w:b/>
          <w:bCs/>
          <w:kern w:val="28"/>
          <w:sz w:val="32"/>
          <w:szCs w:val="32"/>
        </w:rPr>
      </w:pPr>
    </w:p>
    <w:p w14:paraId="633AD09C">
      <w:pPr>
        <w:spacing w:line="900" w:lineRule="exact"/>
        <w:jc w:val="center"/>
        <w:rPr>
          <w:rFonts w:eastAsia="仿宋_GB2312"/>
          <w:b/>
          <w:bCs/>
          <w:kern w:val="28"/>
          <w:sz w:val="32"/>
          <w:szCs w:val="32"/>
        </w:rPr>
      </w:pPr>
    </w:p>
    <w:p w14:paraId="4D4560F4">
      <w:pPr>
        <w:spacing w:line="900" w:lineRule="exact"/>
        <w:jc w:val="center"/>
        <w:rPr>
          <w:rFonts w:eastAsia="仿宋_GB2312"/>
          <w:b/>
          <w:bCs/>
          <w:kern w:val="28"/>
          <w:sz w:val="32"/>
          <w:szCs w:val="32"/>
        </w:rPr>
      </w:pPr>
    </w:p>
    <w:p w14:paraId="12BD5057">
      <w:pPr>
        <w:spacing w:line="900" w:lineRule="exact"/>
        <w:jc w:val="center"/>
        <w:rPr>
          <w:rFonts w:eastAsia="仿宋_GB2312"/>
          <w:b/>
          <w:bCs/>
          <w:kern w:val="28"/>
          <w:sz w:val="32"/>
          <w:szCs w:val="32"/>
        </w:rPr>
      </w:pPr>
    </w:p>
    <w:p w14:paraId="658F537B">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2348FB89">
      <w:pPr>
        <w:spacing w:line="900" w:lineRule="exact"/>
        <w:jc w:val="center"/>
        <w:rPr>
          <w:rFonts w:ascii="仿宋_GB2312" w:hAnsi="仿宋_GB2312" w:eastAsia="仿宋_GB2312" w:cs="仿宋_GB2312"/>
          <w:b/>
          <w:bCs/>
          <w:kern w:val="28"/>
          <w:sz w:val="32"/>
          <w:szCs w:val="32"/>
        </w:rPr>
      </w:pPr>
    </w:p>
    <w:p w14:paraId="05FDC636">
      <w:pPr>
        <w:spacing w:line="900" w:lineRule="exact"/>
        <w:jc w:val="center"/>
        <w:rPr>
          <w:rFonts w:hint="eastAsia" w:ascii="仿宋_GB2312" w:hAnsi="仿宋_GB2312" w:eastAsia="仿宋_GB2312" w:cs="仿宋_GB2312"/>
          <w:b/>
          <w:bCs/>
          <w:kern w:val="28"/>
          <w:sz w:val="32"/>
          <w:szCs w:val="32"/>
        </w:rPr>
      </w:pPr>
    </w:p>
    <w:p w14:paraId="50B86628">
      <w:pPr>
        <w:spacing w:line="900" w:lineRule="exact"/>
        <w:jc w:val="center"/>
        <w:rPr>
          <w:rFonts w:hint="eastAsia" w:eastAsia="仿宋_GB2312"/>
          <w:b/>
          <w:bCs/>
          <w:kern w:val="28"/>
          <w:sz w:val="32"/>
          <w:szCs w:val="32"/>
        </w:rPr>
      </w:pPr>
    </w:p>
    <w:p w14:paraId="4A86283E">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31A126B9">
      <w:pPr>
        <w:pStyle w:val="2"/>
        <w:spacing w:line="480" w:lineRule="exact"/>
        <w:ind w:firstLine="0" w:firstLineChars="0"/>
        <w:jc w:val="center"/>
        <w:rPr>
          <w:rFonts w:eastAsia="宋体"/>
          <w:sz w:val="24"/>
        </w:rPr>
      </w:pPr>
      <w:r>
        <w:rPr>
          <w:rFonts w:eastAsia="宋体"/>
          <w:sz w:val="24"/>
        </w:rPr>
        <w:t>（编写日期：2025年06月）</w:t>
      </w:r>
    </w:p>
    <w:p w14:paraId="4CBFB235">
      <w:pPr>
        <w:pStyle w:val="2"/>
        <w:spacing w:line="480" w:lineRule="exact"/>
        <w:ind w:firstLine="0" w:firstLineChars="0"/>
        <w:jc w:val="center"/>
        <w:rPr>
          <w:rFonts w:eastAsia="宋体"/>
          <w:sz w:val="24"/>
        </w:rPr>
      </w:pPr>
    </w:p>
    <w:p w14:paraId="7495E957">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1A8AD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10B4A365">
            <w:pPr>
              <w:pStyle w:val="2"/>
              <w:spacing w:line="480" w:lineRule="exact"/>
              <w:ind w:firstLine="0" w:firstLineChars="0"/>
              <w:jc w:val="center"/>
              <w:rPr>
                <w:rFonts w:eastAsia="宋体"/>
                <w:sz w:val="24"/>
              </w:rPr>
            </w:pPr>
          </w:p>
          <w:p w14:paraId="2F7C3275">
            <w:pPr>
              <w:pStyle w:val="2"/>
              <w:adjustRightInd w:val="0"/>
              <w:snapToGrid w:val="0"/>
              <w:ind w:firstLine="0" w:firstLineChars="0"/>
              <w:jc w:val="center"/>
              <w:rPr>
                <w:rFonts w:eastAsia="宋体"/>
                <w:sz w:val="24"/>
                <w:lang w:val="en-US" w:eastAsia="zh-CN"/>
              </w:rPr>
            </w:pPr>
            <w:r>
              <w:rPr>
                <w:rFonts w:eastAsia="宋体"/>
                <w:sz w:val="24"/>
                <w:lang w:val="en-US" w:eastAsia="zh-CN"/>
              </w:rPr>
              <w:t>科学交流与知识传播</w:t>
            </w:r>
          </w:p>
          <w:p w14:paraId="5F7A02FF">
            <w:pPr>
              <w:pStyle w:val="2"/>
              <w:adjustRightInd w:val="0"/>
              <w:snapToGrid w:val="0"/>
              <w:ind w:firstLine="0" w:firstLineChars="0"/>
              <w:jc w:val="center"/>
              <w:rPr>
                <w:rFonts w:eastAsia="宋体"/>
                <w:sz w:val="24"/>
                <w:lang w:val="en-US" w:eastAsia="zh-CN"/>
              </w:rPr>
            </w:pPr>
            <w:r>
              <w:rPr>
                <w:rFonts w:eastAsia="宋体"/>
                <w:sz w:val="24"/>
                <w:lang w:val="en-US" w:eastAsia="zh-CN"/>
              </w:rPr>
              <w:t>Scientific Communication and Knowledge Dissemination</w:t>
            </w:r>
          </w:p>
          <w:p w14:paraId="2656A671">
            <w:pPr>
              <w:pStyle w:val="2"/>
              <w:spacing w:line="480" w:lineRule="exact"/>
              <w:ind w:firstLine="0" w:firstLineChars="0"/>
              <w:jc w:val="center"/>
              <w:rPr>
                <w:rFonts w:eastAsia="宋体"/>
                <w:sz w:val="24"/>
              </w:rPr>
            </w:pPr>
          </w:p>
        </w:tc>
      </w:tr>
      <w:tr w14:paraId="6AF96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13F89AA4">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26BE5F00">
            <w:pPr>
              <w:jc w:val="center"/>
              <w:rPr>
                <w:sz w:val="24"/>
              </w:rPr>
            </w:pPr>
            <w:r>
              <w:rPr>
                <w:rFonts w:hint="eastAsia" w:eastAsia="宋体"/>
                <w:sz w:val="24"/>
                <w:lang w:val="en-US" w:eastAsia="zh-CN"/>
              </w:rPr>
              <w:t>专选</w:t>
            </w:r>
          </w:p>
        </w:tc>
        <w:tc>
          <w:tcPr>
            <w:tcW w:w="1598" w:type="dxa"/>
            <w:vAlign w:val="center"/>
          </w:tcPr>
          <w:p w14:paraId="59B7A5BC">
            <w:pPr>
              <w:rPr>
                <w:sz w:val="24"/>
              </w:rPr>
            </w:pPr>
            <w:r>
              <w:rPr>
                <w:sz w:val="24"/>
              </w:rPr>
              <w:t>课程编码</w:t>
            </w:r>
          </w:p>
        </w:tc>
        <w:tc>
          <w:tcPr>
            <w:tcW w:w="1435" w:type="dxa"/>
            <w:vAlign w:val="center"/>
          </w:tcPr>
          <w:p w14:paraId="7E6A2532">
            <w:pPr>
              <w:jc w:val="center"/>
              <w:rPr>
                <w:sz w:val="24"/>
              </w:rPr>
            </w:pPr>
            <w:r>
              <w:rPr>
                <w:sz w:val="24"/>
              </w:rPr>
              <w:t>IM2109</w:t>
            </w:r>
          </w:p>
        </w:tc>
        <w:tc>
          <w:tcPr>
            <w:tcW w:w="1400" w:type="dxa"/>
            <w:vAlign w:val="center"/>
          </w:tcPr>
          <w:p w14:paraId="5B42ABDD">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16A07F46">
            <w:pPr>
              <w:jc w:val="center"/>
              <w:rPr>
                <w:sz w:val="24"/>
              </w:rPr>
            </w:pPr>
            <w:r>
              <w:rPr>
                <w:rFonts w:eastAsia="宋体"/>
                <w:sz w:val="24"/>
                <w:lang w:val="en-US" w:eastAsia="zh-CN"/>
              </w:rPr>
              <w:t>信息管理学院</w:t>
            </w:r>
          </w:p>
        </w:tc>
      </w:tr>
      <w:tr w14:paraId="6CBB3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410DDBF7">
            <w:pPr>
              <w:jc w:val="center"/>
              <w:rPr>
                <w:sz w:val="24"/>
              </w:rPr>
            </w:pPr>
            <w:r>
              <w:rPr>
                <w:sz w:val="24"/>
              </w:rPr>
              <w:t>学分</w:t>
            </w:r>
          </w:p>
        </w:tc>
        <w:tc>
          <w:tcPr>
            <w:tcW w:w="1379" w:type="dxa"/>
            <w:vAlign w:val="center"/>
          </w:tcPr>
          <w:p w14:paraId="633BE70E">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2</w:t>
            </w:r>
          </w:p>
        </w:tc>
        <w:tc>
          <w:tcPr>
            <w:tcW w:w="1598" w:type="dxa"/>
            <w:vAlign w:val="center"/>
          </w:tcPr>
          <w:p w14:paraId="0E61FE0F">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2BB40AAB">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36</w:t>
            </w:r>
          </w:p>
        </w:tc>
        <w:tc>
          <w:tcPr>
            <w:tcW w:w="1400" w:type="dxa"/>
            <w:vAlign w:val="center"/>
          </w:tcPr>
          <w:p w14:paraId="239C75F5">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03CC1FB5">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大二</w:t>
            </w:r>
          </w:p>
        </w:tc>
      </w:tr>
      <w:tr w14:paraId="5CBB7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3954EF98">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4E54DDF7">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信息管理与信息系统Information Management and Information Systems</w:t>
            </w:r>
          </w:p>
        </w:tc>
      </w:tr>
      <w:tr w14:paraId="0C9CC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6FA00B8E">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2315D3CC">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李晶,侯剑华</w:t>
            </w:r>
          </w:p>
        </w:tc>
      </w:tr>
      <w:tr w14:paraId="291AA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38665139">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6A731FBD">
            <w:pPr>
              <w:pStyle w:val="2"/>
              <w:adjustRightInd w:val="0"/>
              <w:snapToGrid w:val="0"/>
              <w:ind w:firstLine="0" w:firstLineChars="0"/>
              <w:jc w:val="left"/>
              <w:rPr>
                <w:rFonts w:hint="eastAsia" w:eastAsia="宋体"/>
                <w:sz w:val="24"/>
                <w:lang w:val="en-US" w:eastAsia="zh-CN"/>
              </w:rPr>
            </w:pPr>
          </w:p>
        </w:tc>
      </w:tr>
      <w:tr w14:paraId="3FDB4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0E1FD338">
            <w:pPr>
              <w:pStyle w:val="2"/>
              <w:spacing w:line="480" w:lineRule="exact"/>
              <w:ind w:firstLine="0" w:firstLineChars="0"/>
              <w:jc w:val="center"/>
              <w:rPr>
                <w:rFonts w:eastAsia="宋体"/>
                <w:sz w:val="24"/>
                <w:lang w:val="en-US" w:eastAsia="zh-CN"/>
              </w:rPr>
            </w:pPr>
          </w:p>
          <w:p w14:paraId="6613DA66">
            <w:pPr>
              <w:pStyle w:val="2"/>
              <w:spacing w:line="480" w:lineRule="exact"/>
              <w:ind w:firstLine="0" w:firstLineChars="0"/>
              <w:jc w:val="center"/>
              <w:rPr>
                <w:rFonts w:eastAsia="宋体"/>
                <w:sz w:val="24"/>
                <w:lang w:val="en-US" w:eastAsia="zh-CN"/>
              </w:rPr>
            </w:pPr>
          </w:p>
          <w:p w14:paraId="185CE777">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3519E01C">
            <w:pPr>
              <w:pStyle w:val="2"/>
              <w:spacing w:line="480" w:lineRule="exact"/>
              <w:ind w:firstLine="0" w:firstLineChars="0"/>
              <w:jc w:val="center"/>
              <w:rPr>
                <w:rFonts w:eastAsia="宋体"/>
                <w:sz w:val="24"/>
                <w:lang w:val="en-US" w:eastAsia="zh-CN"/>
              </w:rPr>
            </w:pPr>
          </w:p>
          <w:p w14:paraId="4CA5B35B">
            <w:pPr>
              <w:pStyle w:val="2"/>
              <w:spacing w:line="480" w:lineRule="exact"/>
              <w:ind w:firstLine="0" w:firstLineChars="0"/>
              <w:jc w:val="center"/>
              <w:rPr>
                <w:rFonts w:eastAsia="宋体"/>
                <w:sz w:val="24"/>
                <w:lang w:val="en-US" w:eastAsia="zh-CN"/>
              </w:rPr>
            </w:pPr>
          </w:p>
        </w:tc>
        <w:tc>
          <w:tcPr>
            <w:tcW w:w="7157" w:type="dxa"/>
            <w:gridSpan w:val="5"/>
            <w:vAlign w:val="center"/>
          </w:tcPr>
          <w:p w14:paraId="67ADD23C">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本课程立足信息资源管理学科，培养学生对科学、科学知识、学科门类等概念的认识和思考，使学生建立科学研究能力和创新思维能力，掌握信息传播和科学交流的理论知识体系，熟练应用分析知识生产、融合、演化的技术和工具，建立分析问题的系统观，为成长为科技工作者和科研管理人才奠定知识基础。</w:t>
            </w:r>
          </w:p>
        </w:tc>
      </w:tr>
    </w:tbl>
    <w:p w14:paraId="1A351CCE">
      <w:pPr>
        <w:spacing w:line="480" w:lineRule="exact"/>
        <w:ind w:firstLine="480" w:firstLineChars="200"/>
        <w:rPr>
          <w:sz w:val="24"/>
        </w:rPr>
      </w:pPr>
    </w:p>
    <w:p w14:paraId="5186D10E">
      <w:pPr>
        <w:spacing w:line="480" w:lineRule="exact"/>
        <w:ind w:firstLine="480" w:firstLineChars="200"/>
        <w:rPr>
          <w:sz w:val="24"/>
        </w:rPr>
      </w:pPr>
      <w:r>
        <w:rPr>
          <w:sz w:val="24"/>
        </w:rPr>
        <w:t>二、课程基本内容（要求有一定的字数，不能过于简单）</w:t>
      </w:r>
    </w:p>
    <w:p w14:paraId="6E95C502">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401"/>
        <w:gridCol w:w="1298"/>
        <w:gridCol w:w="1173"/>
        <w:gridCol w:w="1402"/>
        <w:gridCol w:w="1300"/>
        <w:gridCol w:w="688"/>
        <w:gridCol w:w="1173"/>
      </w:tblGrid>
      <w:tr w14:paraId="5CCFC41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6464A395">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5E0836A5">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5DABB05F">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345D7BB0">
            <w:pPr>
              <w:jc w:val="center"/>
              <w:rPr>
                <w:rFonts w:hint="eastAsia"/>
                <w:b/>
                <w:bCs/>
                <w:sz w:val="24"/>
                <w:szCs w:val="20"/>
              </w:rPr>
            </w:pPr>
            <w:r>
              <w:rPr>
                <w:rFonts w:hint="eastAsia" w:ascii="24x12 宋体"/>
                <w:b/>
                <w:bCs/>
                <w:sz w:val="24"/>
                <w:szCs w:val="20"/>
              </w:rPr>
              <w:t>育人元素</w:t>
            </w:r>
          </w:p>
        </w:tc>
        <w:tc>
          <w:tcPr>
            <w:tcW w:w="1920" w:type="dxa"/>
            <w:vAlign w:val="center"/>
          </w:tcPr>
          <w:p w14:paraId="555EC84E">
            <w:pPr>
              <w:jc w:val="center"/>
              <w:rPr>
                <w:rFonts w:hint="eastAsia"/>
                <w:b/>
                <w:bCs/>
                <w:sz w:val="24"/>
                <w:szCs w:val="20"/>
              </w:rPr>
            </w:pPr>
            <w:r>
              <w:rPr>
                <w:rFonts w:hint="eastAsia" w:ascii="24x12 宋体"/>
                <w:b/>
                <w:bCs/>
                <w:sz w:val="24"/>
                <w:szCs w:val="20"/>
              </w:rPr>
              <w:t>重点、难点(选填)</w:t>
            </w:r>
          </w:p>
        </w:tc>
        <w:tc>
          <w:tcPr>
            <w:tcW w:w="1419" w:type="dxa"/>
            <w:vAlign w:val="center"/>
          </w:tcPr>
          <w:p w14:paraId="2A602FE7">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2FADE2B2">
            <w:pPr>
              <w:jc w:val="center"/>
              <w:rPr>
                <w:rFonts w:hint="eastAsia"/>
                <w:b/>
                <w:bCs/>
                <w:sz w:val="24"/>
                <w:szCs w:val="20"/>
              </w:rPr>
            </w:pPr>
            <w:r>
              <w:rPr>
                <w:rFonts w:hint="eastAsia" w:ascii="24x12 宋体"/>
                <w:b/>
                <w:bCs/>
                <w:sz w:val="24"/>
                <w:szCs w:val="20"/>
              </w:rPr>
              <w:t>备注(选填)</w:t>
            </w:r>
          </w:p>
        </w:tc>
      </w:tr>
      <w:tr w14:paraId="7069CBF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8E78D41">
            <w:pPr>
              <w:rPr>
                <w:rFonts w:ascii="宋体" w:hAnsi="宋体" w:eastAsia="宋体"/>
                <w:sz w:val="24"/>
                <w:szCs w:val="24"/>
              </w:rPr>
            </w:pPr>
            <w:r>
              <w:rPr>
                <w:rFonts w:hint="eastAsia" w:ascii="宋体" w:hAnsi="宋体" w:eastAsia="宋体"/>
                <w:sz w:val="24"/>
                <w:szCs w:val="24"/>
              </w:rPr>
              <w:t>第1章 科学交流理论基础，第1节 科学的历史概况</w:t>
            </w:r>
          </w:p>
        </w:tc>
        <w:tc>
          <w:tcPr>
            <w:tcW w:w="5096" w:type="dxa"/>
            <w:vAlign w:val="center"/>
          </w:tcPr>
          <w:p w14:paraId="50B0E089">
            <w:pPr>
              <w:rPr>
                <w:rFonts w:ascii="宋体" w:hAnsi="宋体" w:eastAsia="宋体"/>
                <w:sz w:val="24"/>
                <w:szCs w:val="24"/>
              </w:rPr>
            </w:pPr>
            <w:r>
              <w:rPr>
                <w:rFonts w:hint="eastAsia" w:ascii="宋体" w:hAnsi="宋体" w:eastAsia="宋体"/>
                <w:sz w:val="24"/>
                <w:szCs w:val="24"/>
              </w:rPr>
              <w:t>课程导论部分，介绍本课程的总体教学计划，教学内容安排；介绍科学的历史概况，包括原始的科学，现代科学的诞生，十九世纪——科学成为必须品，作为一种机构的科学事业，科学在马克思主义理论中的重要地位等。</w:t>
            </w:r>
          </w:p>
        </w:tc>
        <w:tc>
          <w:tcPr>
            <w:tcW w:w="5096" w:type="dxa"/>
            <w:vAlign w:val="center"/>
          </w:tcPr>
          <w:p w14:paraId="1F240DEC">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05C8FAB">
            <w:pPr>
              <w:rPr>
                <w:rFonts w:ascii="宋体" w:hAnsi="宋体" w:eastAsia="宋体"/>
                <w:sz w:val="24"/>
                <w:szCs w:val="24"/>
              </w:rPr>
            </w:pPr>
            <w:r>
              <w:rPr>
                <w:rFonts w:hint="eastAsia" w:ascii="宋体" w:hAnsi="宋体" w:eastAsia="宋体"/>
                <w:sz w:val="24"/>
                <w:szCs w:val="24"/>
              </w:rPr>
              <w:t>引入马克思主义理论中对科学的阐述“利用科学为人类谋幸福”，引导学生对科学应用真、善、美的理解。</w:t>
            </w:r>
          </w:p>
        </w:tc>
        <w:tc>
          <w:tcPr>
            <w:tcW w:w="5096" w:type="dxa"/>
            <w:vAlign w:val="center"/>
          </w:tcPr>
          <w:p w14:paraId="20397755">
            <w:pPr>
              <w:rPr>
                <w:rFonts w:ascii="宋体" w:hAnsi="宋体" w:eastAsia="宋体"/>
                <w:sz w:val="24"/>
                <w:szCs w:val="24"/>
              </w:rPr>
            </w:pPr>
          </w:p>
        </w:tc>
        <w:tc>
          <w:tcPr>
            <w:tcW w:w="1555" w:type="dxa"/>
            <w:vMerge w:val="restart"/>
            <w:vAlign w:val="center"/>
          </w:tcPr>
          <w:p w14:paraId="793A7B5B">
            <w:pPr>
              <w:jc w:val="center"/>
              <w:rPr>
                <w:rFonts w:ascii="宋体" w:hAnsi="宋体" w:eastAsia="宋体"/>
                <w:sz w:val="24"/>
                <w:szCs w:val="24"/>
              </w:rPr>
            </w:pPr>
          </w:p>
        </w:tc>
        <w:tc>
          <w:tcPr>
            <w:tcW w:w="5096" w:type="dxa"/>
            <w:vAlign w:val="center"/>
          </w:tcPr>
          <w:p w14:paraId="766C3664">
            <w:pPr>
              <w:rPr>
                <w:rFonts w:ascii="宋体" w:hAnsi="宋体" w:eastAsia="宋体"/>
                <w:sz w:val="24"/>
                <w:szCs w:val="24"/>
              </w:rPr>
            </w:pPr>
          </w:p>
        </w:tc>
      </w:tr>
      <w:tr w14:paraId="35E8AAA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A854E10">
            <w:pPr>
              <w:rPr>
                <w:rFonts w:ascii="宋体" w:hAnsi="宋体" w:eastAsia="宋体"/>
                <w:sz w:val="24"/>
                <w:szCs w:val="24"/>
              </w:rPr>
            </w:pPr>
            <w:r>
              <w:rPr>
                <w:rFonts w:hint="eastAsia" w:ascii="宋体" w:hAnsi="宋体" w:eastAsia="宋体"/>
                <w:sz w:val="24"/>
                <w:szCs w:val="24"/>
              </w:rPr>
              <w:t>第1章 科学交流理论基础，第2节 科学的性质与功能</w:t>
            </w:r>
          </w:p>
        </w:tc>
        <w:tc>
          <w:tcPr>
            <w:tcW w:w="5096" w:type="dxa"/>
            <w:vAlign w:val="center"/>
          </w:tcPr>
          <w:p w14:paraId="4D8043FA">
            <w:pPr>
              <w:rPr>
                <w:rFonts w:ascii="宋体" w:hAnsi="宋体" w:eastAsia="宋体"/>
                <w:sz w:val="24"/>
                <w:szCs w:val="24"/>
              </w:rPr>
            </w:pPr>
            <w:r>
              <w:rPr>
                <w:rFonts w:hint="eastAsia" w:ascii="宋体" w:hAnsi="宋体" w:eastAsia="宋体"/>
                <w:sz w:val="24"/>
                <w:szCs w:val="24"/>
              </w:rPr>
              <w:t>介绍科学的性质，作为纯思维、作为一种理论、作为一种机构、作为情报过程等，说明科学具有的创新功能、经济功能、政治功能和社会功能。</w:t>
            </w:r>
          </w:p>
        </w:tc>
        <w:tc>
          <w:tcPr>
            <w:tcW w:w="5096" w:type="dxa"/>
            <w:vAlign w:val="center"/>
          </w:tcPr>
          <w:p w14:paraId="5A710AC2">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4873FFE">
            <w:pPr>
              <w:rPr>
                <w:rFonts w:ascii="宋体" w:hAnsi="宋体" w:eastAsia="宋体"/>
                <w:sz w:val="24"/>
                <w:szCs w:val="24"/>
              </w:rPr>
            </w:pPr>
          </w:p>
        </w:tc>
        <w:tc>
          <w:tcPr>
            <w:tcW w:w="5096" w:type="dxa"/>
            <w:vAlign w:val="center"/>
          </w:tcPr>
          <w:p w14:paraId="74B94F32">
            <w:pPr>
              <w:rPr>
                <w:rFonts w:ascii="宋体" w:hAnsi="宋体" w:eastAsia="宋体"/>
                <w:sz w:val="24"/>
                <w:szCs w:val="24"/>
              </w:rPr>
            </w:pPr>
          </w:p>
        </w:tc>
        <w:tc>
          <w:tcPr>
            <w:tcW w:w="1555" w:type="dxa"/>
            <w:vMerge w:val="restart"/>
            <w:vAlign w:val="center"/>
          </w:tcPr>
          <w:p w14:paraId="42A111E5">
            <w:pPr>
              <w:jc w:val="center"/>
              <w:rPr>
                <w:rFonts w:ascii="宋体" w:hAnsi="宋体" w:eastAsia="宋体"/>
                <w:sz w:val="24"/>
                <w:szCs w:val="24"/>
              </w:rPr>
            </w:pPr>
          </w:p>
        </w:tc>
        <w:tc>
          <w:tcPr>
            <w:tcW w:w="5096" w:type="dxa"/>
            <w:vAlign w:val="center"/>
          </w:tcPr>
          <w:p w14:paraId="5BB8EE82">
            <w:pPr>
              <w:rPr>
                <w:rFonts w:ascii="宋体" w:hAnsi="宋体" w:eastAsia="宋体"/>
                <w:sz w:val="24"/>
                <w:szCs w:val="24"/>
              </w:rPr>
            </w:pPr>
          </w:p>
        </w:tc>
      </w:tr>
      <w:tr w14:paraId="309B691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D293E76">
            <w:pPr>
              <w:rPr>
                <w:rFonts w:ascii="宋体" w:hAnsi="宋体" w:eastAsia="宋体"/>
                <w:sz w:val="24"/>
                <w:szCs w:val="24"/>
              </w:rPr>
            </w:pPr>
            <w:r>
              <w:rPr>
                <w:rFonts w:hint="eastAsia" w:ascii="宋体" w:hAnsi="宋体" w:eastAsia="宋体"/>
                <w:sz w:val="24"/>
                <w:szCs w:val="24"/>
              </w:rPr>
              <w:t>第1章 科学交流理论基础，第3节 学科分化与科学知识的传播</w:t>
            </w:r>
          </w:p>
        </w:tc>
        <w:tc>
          <w:tcPr>
            <w:tcW w:w="5096" w:type="dxa"/>
            <w:vAlign w:val="center"/>
          </w:tcPr>
          <w:p w14:paraId="4C643095">
            <w:pPr>
              <w:rPr>
                <w:rFonts w:ascii="宋体" w:hAnsi="宋体" w:eastAsia="宋体"/>
                <w:sz w:val="24"/>
                <w:szCs w:val="24"/>
              </w:rPr>
            </w:pPr>
            <w:r>
              <w:rPr>
                <w:rFonts w:hint="eastAsia" w:ascii="宋体" w:hAnsi="宋体" w:eastAsia="宋体"/>
                <w:sz w:val="24"/>
                <w:szCs w:val="24"/>
              </w:rPr>
              <w:t>介绍科学教育的发展，包括专业化的发展过程，学科、科学知识传播的概念以及形成过程。</w:t>
            </w:r>
          </w:p>
        </w:tc>
        <w:tc>
          <w:tcPr>
            <w:tcW w:w="5096" w:type="dxa"/>
            <w:vAlign w:val="center"/>
          </w:tcPr>
          <w:p w14:paraId="2DFFB4C0">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B343163">
            <w:pPr>
              <w:rPr>
                <w:rFonts w:ascii="宋体" w:hAnsi="宋体" w:eastAsia="宋体"/>
                <w:sz w:val="24"/>
                <w:szCs w:val="24"/>
              </w:rPr>
            </w:pPr>
          </w:p>
        </w:tc>
        <w:tc>
          <w:tcPr>
            <w:tcW w:w="5096" w:type="dxa"/>
            <w:vAlign w:val="center"/>
          </w:tcPr>
          <w:p w14:paraId="110072A4">
            <w:pPr>
              <w:rPr>
                <w:rFonts w:ascii="宋体" w:hAnsi="宋体" w:eastAsia="宋体"/>
                <w:sz w:val="24"/>
                <w:szCs w:val="24"/>
              </w:rPr>
            </w:pPr>
          </w:p>
        </w:tc>
        <w:tc>
          <w:tcPr>
            <w:tcW w:w="1555" w:type="dxa"/>
            <w:vMerge w:val="restart"/>
            <w:vAlign w:val="center"/>
          </w:tcPr>
          <w:p w14:paraId="7F84380F">
            <w:pPr>
              <w:jc w:val="center"/>
              <w:rPr>
                <w:rFonts w:ascii="宋体" w:hAnsi="宋体" w:eastAsia="宋体"/>
                <w:sz w:val="24"/>
                <w:szCs w:val="24"/>
              </w:rPr>
            </w:pPr>
          </w:p>
        </w:tc>
        <w:tc>
          <w:tcPr>
            <w:tcW w:w="5096" w:type="dxa"/>
            <w:vAlign w:val="center"/>
          </w:tcPr>
          <w:p w14:paraId="0DF134DA">
            <w:pPr>
              <w:rPr>
                <w:rFonts w:ascii="宋体" w:hAnsi="宋体" w:eastAsia="宋体"/>
                <w:sz w:val="24"/>
                <w:szCs w:val="24"/>
              </w:rPr>
            </w:pPr>
          </w:p>
        </w:tc>
      </w:tr>
      <w:tr w14:paraId="369CEBE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42AA819">
            <w:pPr>
              <w:rPr>
                <w:rFonts w:ascii="宋体" w:hAnsi="宋体" w:eastAsia="宋体"/>
                <w:sz w:val="24"/>
                <w:szCs w:val="24"/>
              </w:rPr>
            </w:pPr>
            <w:r>
              <w:rPr>
                <w:rFonts w:hint="eastAsia" w:ascii="宋体" w:hAnsi="宋体" w:eastAsia="宋体"/>
                <w:sz w:val="24"/>
                <w:szCs w:val="24"/>
              </w:rPr>
              <w:t>第2章 科学交流系统，第1节 定义与种类，第2节 非正式过程</w:t>
            </w:r>
          </w:p>
        </w:tc>
        <w:tc>
          <w:tcPr>
            <w:tcW w:w="5096" w:type="dxa"/>
            <w:vAlign w:val="center"/>
          </w:tcPr>
          <w:p w14:paraId="0F1F126C">
            <w:pPr>
              <w:rPr>
                <w:rFonts w:ascii="宋体" w:hAnsi="宋体" w:eastAsia="宋体"/>
                <w:sz w:val="24"/>
                <w:szCs w:val="24"/>
              </w:rPr>
            </w:pPr>
            <w:r>
              <w:rPr>
                <w:rFonts w:hint="eastAsia" w:ascii="宋体" w:hAnsi="宋体" w:eastAsia="宋体"/>
                <w:sz w:val="24"/>
                <w:szCs w:val="24"/>
              </w:rPr>
              <w:t>介绍米哈伊洛夫科学交流理论中关于科学交流概念、科学交流系统、正式交流和非正式交流过程。</w:t>
            </w:r>
          </w:p>
        </w:tc>
        <w:tc>
          <w:tcPr>
            <w:tcW w:w="5096" w:type="dxa"/>
            <w:vAlign w:val="center"/>
          </w:tcPr>
          <w:p w14:paraId="0F5EA2D0">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84D2886">
            <w:pPr>
              <w:rPr>
                <w:rFonts w:ascii="宋体" w:hAnsi="宋体" w:eastAsia="宋体"/>
                <w:sz w:val="24"/>
                <w:szCs w:val="24"/>
              </w:rPr>
            </w:pPr>
          </w:p>
        </w:tc>
        <w:tc>
          <w:tcPr>
            <w:tcW w:w="5096" w:type="dxa"/>
            <w:vAlign w:val="center"/>
          </w:tcPr>
          <w:p w14:paraId="448EEE1C">
            <w:pPr>
              <w:rPr>
                <w:rFonts w:ascii="宋体" w:hAnsi="宋体" w:eastAsia="宋体"/>
                <w:sz w:val="24"/>
                <w:szCs w:val="24"/>
              </w:rPr>
            </w:pPr>
          </w:p>
        </w:tc>
        <w:tc>
          <w:tcPr>
            <w:tcW w:w="1555" w:type="dxa"/>
            <w:vMerge w:val="restart"/>
            <w:vAlign w:val="center"/>
          </w:tcPr>
          <w:p w14:paraId="44258A12">
            <w:pPr>
              <w:jc w:val="center"/>
              <w:rPr>
                <w:rFonts w:ascii="宋体" w:hAnsi="宋体" w:eastAsia="宋体"/>
                <w:sz w:val="24"/>
                <w:szCs w:val="24"/>
              </w:rPr>
            </w:pPr>
          </w:p>
        </w:tc>
        <w:tc>
          <w:tcPr>
            <w:tcW w:w="5096" w:type="dxa"/>
            <w:vAlign w:val="center"/>
          </w:tcPr>
          <w:p w14:paraId="1CBACCF8">
            <w:pPr>
              <w:rPr>
                <w:rFonts w:ascii="宋体" w:hAnsi="宋体" w:eastAsia="宋体"/>
                <w:sz w:val="24"/>
                <w:szCs w:val="24"/>
              </w:rPr>
            </w:pPr>
          </w:p>
        </w:tc>
      </w:tr>
      <w:tr w14:paraId="5EFAB18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F525041">
            <w:pPr>
              <w:rPr>
                <w:rFonts w:ascii="宋体" w:hAnsi="宋体" w:eastAsia="宋体"/>
                <w:sz w:val="24"/>
                <w:szCs w:val="24"/>
              </w:rPr>
            </w:pPr>
            <w:r>
              <w:rPr>
                <w:rFonts w:hint="eastAsia" w:ascii="宋体" w:hAnsi="宋体" w:eastAsia="宋体"/>
                <w:sz w:val="24"/>
                <w:szCs w:val="24"/>
              </w:rPr>
              <w:t>第2章 科学交流系统， 第3节 “看不见的学院”，第4节 科学交流系统的规律与属性</w:t>
            </w:r>
          </w:p>
        </w:tc>
        <w:tc>
          <w:tcPr>
            <w:tcW w:w="5096" w:type="dxa"/>
            <w:vAlign w:val="center"/>
          </w:tcPr>
          <w:p w14:paraId="7DEF7F6F">
            <w:pPr>
              <w:rPr>
                <w:rFonts w:ascii="宋体" w:hAnsi="宋体" w:eastAsia="宋体"/>
                <w:sz w:val="24"/>
                <w:szCs w:val="24"/>
              </w:rPr>
            </w:pPr>
            <w:r>
              <w:rPr>
                <w:rFonts w:hint="eastAsia" w:ascii="宋体" w:hAnsi="宋体" w:eastAsia="宋体"/>
                <w:sz w:val="24"/>
                <w:szCs w:val="24"/>
              </w:rPr>
              <w:t>介绍无形学院理论、无形学院的结构分析，互联网时代无形学院的特点；介绍科学交流系统的重要特征，包括广泛性、整体性和稳定性等。</w:t>
            </w:r>
          </w:p>
        </w:tc>
        <w:tc>
          <w:tcPr>
            <w:tcW w:w="5096" w:type="dxa"/>
            <w:vAlign w:val="center"/>
          </w:tcPr>
          <w:p w14:paraId="48C8A23D">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3EC16D08">
            <w:pPr>
              <w:rPr>
                <w:rFonts w:ascii="宋体" w:hAnsi="宋体" w:eastAsia="宋体"/>
                <w:sz w:val="24"/>
                <w:szCs w:val="24"/>
              </w:rPr>
            </w:pPr>
          </w:p>
        </w:tc>
        <w:tc>
          <w:tcPr>
            <w:tcW w:w="5096" w:type="dxa"/>
            <w:vAlign w:val="center"/>
          </w:tcPr>
          <w:p w14:paraId="5C27FA92">
            <w:pPr>
              <w:rPr>
                <w:rFonts w:ascii="宋体" w:hAnsi="宋体" w:eastAsia="宋体"/>
                <w:sz w:val="24"/>
                <w:szCs w:val="24"/>
              </w:rPr>
            </w:pPr>
          </w:p>
        </w:tc>
        <w:tc>
          <w:tcPr>
            <w:tcW w:w="1555" w:type="dxa"/>
            <w:vMerge w:val="restart"/>
            <w:vAlign w:val="center"/>
          </w:tcPr>
          <w:p w14:paraId="31349B9B">
            <w:pPr>
              <w:jc w:val="center"/>
              <w:rPr>
                <w:rFonts w:ascii="宋体" w:hAnsi="宋体" w:eastAsia="宋体"/>
                <w:sz w:val="24"/>
                <w:szCs w:val="24"/>
              </w:rPr>
            </w:pPr>
          </w:p>
        </w:tc>
        <w:tc>
          <w:tcPr>
            <w:tcW w:w="5096" w:type="dxa"/>
            <w:vAlign w:val="center"/>
          </w:tcPr>
          <w:p w14:paraId="67A6A152">
            <w:pPr>
              <w:rPr>
                <w:rFonts w:ascii="宋体" w:hAnsi="宋体" w:eastAsia="宋体"/>
                <w:sz w:val="24"/>
                <w:szCs w:val="24"/>
              </w:rPr>
            </w:pPr>
          </w:p>
        </w:tc>
      </w:tr>
      <w:tr w14:paraId="0A58ECB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43A35BB">
            <w:pPr>
              <w:rPr>
                <w:rFonts w:ascii="宋体" w:hAnsi="宋体" w:eastAsia="宋体"/>
                <w:sz w:val="24"/>
                <w:szCs w:val="24"/>
              </w:rPr>
            </w:pPr>
            <w:r>
              <w:rPr>
                <w:rFonts w:hint="eastAsia" w:ascii="宋体" w:hAnsi="宋体" w:eastAsia="宋体"/>
                <w:sz w:val="24"/>
                <w:szCs w:val="24"/>
              </w:rPr>
              <w:t>第3章 科学交流载体及其演化，第1节 科学交流载体及其特征</w:t>
            </w:r>
          </w:p>
        </w:tc>
        <w:tc>
          <w:tcPr>
            <w:tcW w:w="5096" w:type="dxa"/>
            <w:vAlign w:val="center"/>
          </w:tcPr>
          <w:p w14:paraId="2AAE8265">
            <w:pPr>
              <w:rPr>
                <w:rFonts w:ascii="宋体" w:hAnsi="宋体" w:eastAsia="宋体"/>
                <w:sz w:val="24"/>
                <w:szCs w:val="24"/>
              </w:rPr>
            </w:pPr>
            <w:r>
              <w:rPr>
                <w:rFonts w:hint="eastAsia" w:ascii="宋体" w:hAnsi="宋体" w:eastAsia="宋体"/>
                <w:sz w:val="24"/>
                <w:szCs w:val="24"/>
              </w:rPr>
              <w:t>介绍科学交流载体的主要类型，科学交流载体的演化等，重点介绍在讲学时代、书信时代、期刊时代以及互联网时代不同科学交流载体的演化及其特征，为科学交流的分析和测度提供基础。</w:t>
            </w:r>
          </w:p>
        </w:tc>
        <w:tc>
          <w:tcPr>
            <w:tcW w:w="5096" w:type="dxa"/>
            <w:vAlign w:val="center"/>
          </w:tcPr>
          <w:p w14:paraId="652897B9">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1C0D8E7">
            <w:pPr>
              <w:rPr>
                <w:rFonts w:ascii="宋体" w:hAnsi="宋体" w:eastAsia="宋体"/>
                <w:sz w:val="24"/>
                <w:szCs w:val="24"/>
              </w:rPr>
            </w:pPr>
            <w:r>
              <w:rPr>
                <w:rFonts w:hint="eastAsia" w:ascii="宋体" w:hAnsi="宋体" w:eastAsia="宋体"/>
                <w:sz w:val="24"/>
                <w:szCs w:val="24"/>
              </w:rPr>
              <w:t>通过科学交流的载体演化，展示我国信息技术的发展，树立文化自信。</w:t>
            </w:r>
          </w:p>
        </w:tc>
        <w:tc>
          <w:tcPr>
            <w:tcW w:w="5096" w:type="dxa"/>
            <w:vAlign w:val="center"/>
          </w:tcPr>
          <w:p w14:paraId="5D7E2F71">
            <w:pPr>
              <w:rPr>
                <w:rFonts w:ascii="宋体" w:hAnsi="宋体" w:eastAsia="宋体"/>
                <w:sz w:val="24"/>
                <w:szCs w:val="24"/>
              </w:rPr>
            </w:pPr>
          </w:p>
        </w:tc>
        <w:tc>
          <w:tcPr>
            <w:tcW w:w="1555" w:type="dxa"/>
            <w:vMerge w:val="restart"/>
            <w:vAlign w:val="center"/>
          </w:tcPr>
          <w:p w14:paraId="6184876E">
            <w:pPr>
              <w:jc w:val="center"/>
              <w:rPr>
                <w:rFonts w:ascii="宋体" w:hAnsi="宋体" w:eastAsia="宋体"/>
                <w:sz w:val="24"/>
                <w:szCs w:val="24"/>
              </w:rPr>
            </w:pPr>
          </w:p>
        </w:tc>
        <w:tc>
          <w:tcPr>
            <w:tcW w:w="5096" w:type="dxa"/>
            <w:vAlign w:val="center"/>
          </w:tcPr>
          <w:p w14:paraId="6F2389A6">
            <w:pPr>
              <w:rPr>
                <w:rFonts w:ascii="宋体" w:hAnsi="宋体" w:eastAsia="宋体"/>
                <w:sz w:val="24"/>
                <w:szCs w:val="24"/>
              </w:rPr>
            </w:pPr>
          </w:p>
        </w:tc>
      </w:tr>
      <w:tr w14:paraId="177B8B8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F89118F">
            <w:pPr>
              <w:rPr>
                <w:rFonts w:ascii="宋体" w:hAnsi="宋体" w:eastAsia="宋体"/>
                <w:sz w:val="24"/>
                <w:szCs w:val="24"/>
              </w:rPr>
            </w:pPr>
            <w:r>
              <w:rPr>
                <w:rFonts w:hint="eastAsia" w:ascii="宋体" w:hAnsi="宋体" w:eastAsia="宋体"/>
                <w:sz w:val="24"/>
                <w:szCs w:val="24"/>
              </w:rPr>
              <w:t>第3章 科学交流载体及其演化，第3节 科学知识单元</w:t>
            </w:r>
          </w:p>
        </w:tc>
        <w:tc>
          <w:tcPr>
            <w:tcW w:w="5096" w:type="dxa"/>
            <w:vAlign w:val="center"/>
          </w:tcPr>
          <w:p w14:paraId="6514353A">
            <w:pPr>
              <w:rPr>
                <w:rFonts w:ascii="宋体" w:hAnsi="宋体" w:eastAsia="宋体"/>
                <w:sz w:val="24"/>
                <w:szCs w:val="24"/>
              </w:rPr>
            </w:pPr>
            <w:r>
              <w:rPr>
                <w:rFonts w:hint="eastAsia" w:ascii="宋体" w:hAnsi="宋体" w:eastAsia="宋体"/>
                <w:sz w:val="24"/>
                <w:szCs w:val="24"/>
              </w:rPr>
              <w:t>介绍知识单元理论，包括基本概念、层次、测度研究的最新进展，重点分析数字时代科学知识传播如何从中观层次的载体向微观知识单元转化。</w:t>
            </w:r>
          </w:p>
        </w:tc>
        <w:tc>
          <w:tcPr>
            <w:tcW w:w="5096" w:type="dxa"/>
            <w:vAlign w:val="center"/>
          </w:tcPr>
          <w:p w14:paraId="5C4282FA">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365CCE26">
            <w:pPr>
              <w:rPr>
                <w:rFonts w:ascii="宋体" w:hAnsi="宋体" w:eastAsia="宋体"/>
                <w:sz w:val="24"/>
                <w:szCs w:val="24"/>
              </w:rPr>
            </w:pPr>
          </w:p>
        </w:tc>
        <w:tc>
          <w:tcPr>
            <w:tcW w:w="5096" w:type="dxa"/>
            <w:vAlign w:val="center"/>
          </w:tcPr>
          <w:p w14:paraId="0FF4ED2F">
            <w:pPr>
              <w:rPr>
                <w:rFonts w:ascii="宋体" w:hAnsi="宋体" w:eastAsia="宋体"/>
                <w:sz w:val="24"/>
                <w:szCs w:val="24"/>
              </w:rPr>
            </w:pPr>
          </w:p>
        </w:tc>
        <w:tc>
          <w:tcPr>
            <w:tcW w:w="1555" w:type="dxa"/>
            <w:vMerge w:val="restart"/>
            <w:vAlign w:val="center"/>
          </w:tcPr>
          <w:p w14:paraId="28750F15">
            <w:pPr>
              <w:jc w:val="center"/>
              <w:rPr>
                <w:rFonts w:ascii="宋体" w:hAnsi="宋体" w:eastAsia="宋体"/>
                <w:sz w:val="24"/>
                <w:szCs w:val="24"/>
              </w:rPr>
            </w:pPr>
          </w:p>
        </w:tc>
        <w:tc>
          <w:tcPr>
            <w:tcW w:w="5096" w:type="dxa"/>
            <w:vAlign w:val="center"/>
          </w:tcPr>
          <w:p w14:paraId="3CDBBE6E">
            <w:pPr>
              <w:rPr>
                <w:rFonts w:ascii="宋体" w:hAnsi="宋体" w:eastAsia="宋体"/>
                <w:sz w:val="24"/>
                <w:szCs w:val="24"/>
              </w:rPr>
            </w:pPr>
          </w:p>
        </w:tc>
      </w:tr>
      <w:tr w14:paraId="2BA99C9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41597D7">
            <w:pPr>
              <w:rPr>
                <w:rFonts w:ascii="宋体" w:hAnsi="宋体" w:eastAsia="宋体"/>
                <w:sz w:val="24"/>
                <w:szCs w:val="24"/>
              </w:rPr>
            </w:pPr>
            <w:r>
              <w:rPr>
                <w:rFonts w:hint="eastAsia" w:ascii="宋体" w:hAnsi="宋体" w:eastAsia="宋体"/>
                <w:sz w:val="24"/>
                <w:szCs w:val="24"/>
              </w:rPr>
              <w:t>第4章 科学交流的测度，第1节 测度的工具与方法</w:t>
            </w:r>
          </w:p>
        </w:tc>
        <w:tc>
          <w:tcPr>
            <w:tcW w:w="5096" w:type="dxa"/>
            <w:vAlign w:val="center"/>
          </w:tcPr>
          <w:p w14:paraId="66ACCE20">
            <w:pPr>
              <w:rPr>
                <w:rFonts w:ascii="宋体" w:hAnsi="宋体" w:eastAsia="宋体"/>
                <w:sz w:val="24"/>
                <w:szCs w:val="24"/>
              </w:rPr>
            </w:pPr>
            <w:r>
              <w:rPr>
                <w:rFonts w:hint="eastAsia" w:ascii="宋体" w:hAnsi="宋体" w:eastAsia="宋体"/>
                <w:sz w:val="24"/>
                <w:szCs w:val="24"/>
              </w:rPr>
              <w:t>重点介绍如何测度科学交流过程中的知识量，教授科学交流测度的主要工具和方法，包括文献计量方法、知识资本评价方法、内容分析方法、价值评估方法等。</w:t>
            </w:r>
          </w:p>
        </w:tc>
        <w:tc>
          <w:tcPr>
            <w:tcW w:w="5096" w:type="dxa"/>
            <w:vAlign w:val="center"/>
          </w:tcPr>
          <w:p w14:paraId="2AF4A218">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A743430">
            <w:pPr>
              <w:rPr>
                <w:rFonts w:ascii="宋体" w:hAnsi="宋体" w:eastAsia="宋体"/>
                <w:sz w:val="24"/>
                <w:szCs w:val="24"/>
              </w:rPr>
            </w:pPr>
          </w:p>
        </w:tc>
        <w:tc>
          <w:tcPr>
            <w:tcW w:w="5096" w:type="dxa"/>
            <w:vAlign w:val="center"/>
          </w:tcPr>
          <w:p w14:paraId="371C1A9E">
            <w:pPr>
              <w:rPr>
                <w:rFonts w:ascii="宋体" w:hAnsi="宋体" w:eastAsia="宋体"/>
                <w:sz w:val="24"/>
                <w:szCs w:val="24"/>
              </w:rPr>
            </w:pPr>
          </w:p>
        </w:tc>
        <w:tc>
          <w:tcPr>
            <w:tcW w:w="1555" w:type="dxa"/>
            <w:vMerge w:val="restart"/>
            <w:vAlign w:val="center"/>
          </w:tcPr>
          <w:p w14:paraId="217891E0">
            <w:pPr>
              <w:jc w:val="center"/>
              <w:rPr>
                <w:rFonts w:ascii="宋体" w:hAnsi="宋体" w:eastAsia="宋体"/>
                <w:sz w:val="24"/>
                <w:szCs w:val="24"/>
              </w:rPr>
            </w:pPr>
          </w:p>
        </w:tc>
        <w:tc>
          <w:tcPr>
            <w:tcW w:w="5096" w:type="dxa"/>
            <w:vAlign w:val="center"/>
          </w:tcPr>
          <w:p w14:paraId="57DEEFBF">
            <w:pPr>
              <w:rPr>
                <w:rFonts w:ascii="宋体" w:hAnsi="宋体" w:eastAsia="宋体"/>
                <w:sz w:val="24"/>
                <w:szCs w:val="24"/>
              </w:rPr>
            </w:pPr>
          </w:p>
        </w:tc>
      </w:tr>
      <w:tr w14:paraId="1521223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FCA6771">
            <w:pPr>
              <w:rPr>
                <w:rFonts w:ascii="宋体" w:hAnsi="宋体" w:eastAsia="宋体"/>
                <w:sz w:val="24"/>
                <w:szCs w:val="24"/>
              </w:rPr>
            </w:pPr>
            <w:r>
              <w:rPr>
                <w:rFonts w:hint="eastAsia" w:ascii="宋体" w:hAnsi="宋体" w:eastAsia="宋体"/>
                <w:sz w:val="24"/>
                <w:szCs w:val="24"/>
              </w:rPr>
              <w:t>主题研讨</w:t>
            </w:r>
          </w:p>
        </w:tc>
        <w:tc>
          <w:tcPr>
            <w:tcW w:w="5096" w:type="dxa"/>
            <w:vAlign w:val="center"/>
          </w:tcPr>
          <w:p w14:paraId="7C20C858">
            <w:pPr>
              <w:rPr>
                <w:rFonts w:ascii="宋体" w:hAnsi="宋体" w:eastAsia="宋体"/>
                <w:sz w:val="24"/>
                <w:szCs w:val="24"/>
              </w:rPr>
            </w:pPr>
            <w:r>
              <w:rPr>
                <w:rFonts w:hint="eastAsia" w:ascii="宋体" w:hAnsi="宋体" w:eastAsia="宋体"/>
                <w:sz w:val="24"/>
                <w:szCs w:val="24"/>
              </w:rPr>
              <w:t>根据教师推荐及自荐的论文，请学生讨论并归纳科学交流中可量化的特征维度，以及如何选择量化方法进行科学测度。</w:t>
            </w:r>
          </w:p>
        </w:tc>
        <w:tc>
          <w:tcPr>
            <w:tcW w:w="5096" w:type="dxa"/>
            <w:vAlign w:val="center"/>
          </w:tcPr>
          <w:p w14:paraId="2C020BE1">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73C1C01">
            <w:pPr>
              <w:rPr>
                <w:rFonts w:ascii="宋体" w:hAnsi="宋体" w:eastAsia="宋体"/>
                <w:sz w:val="24"/>
                <w:szCs w:val="24"/>
              </w:rPr>
            </w:pPr>
          </w:p>
        </w:tc>
        <w:tc>
          <w:tcPr>
            <w:tcW w:w="5096" w:type="dxa"/>
            <w:vAlign w:val="center"/>
          </w:tcPr>
          <w:p w14:paraId="00219DD5">
            <w:pPr>
              <w:rPr>
                <w:rFonts w:ascii="宋体" w:hAnsi="宋体" w:eastAsia="宋体"/>
                <w:sz w:val="24"/>
                <w:szCs w:val="24"/>
              </w:rPr>
            </w:pPr>
          </w:p>
        </w:tc>
        <w:tc>
          <w:tcPr>
            <w:tcW w:w="1555" w:type="dxa"/>
            <w:vMerge w:val="restart"/>
            <w:vAlign w:val="center"/>
          </w:tcPr>
          <w:p w14:paraId="0267C86D">
            <w:pPr>
              <w:jc w:val="center"/>
              <w:rPr>
                <w:rFonts w:ascii="宋体" w:hAnsi="宋体" w:eastAsia="宋体"/>
                <w:sz w:val="24"/>
                <w:szCs w:val="24"/>
              </w:rPr>
            </w:pPr>
          </w:p>
        </w:tc>
        <w:tc>
          <w:tcPr>
            <w:tcW w:w="5096" w:type="dxa"/>
            <w:vAlign w:val="center"/>
          </w:tcPr>
          <w:p w14:paraId="6ABC12B6">
            <w:pPr>
              <w:rPr>
                <w:rFonts w:ascii="宋体" w:hAnsi="宋体" w:eastAsia="宋体"/>
                <w:sz w:val="24"/>
                <w:szCs w:val="24"/>
              </w:rPr>
            </w:pPr>
          </w:p>
        </w:tc>
      </w:tr>
      <w:tr w14:paraId="4964982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3B98BEC">
            <w:pPr>
              <w:rPr>
                <w:rFonts w:ascii="宋体" w:hAnsi="宋体" w:eastAsia="宋体"/>
                <w:sz w:val="24"/>
                <w:szCs w:val="24"/>
              </w:rPr>
            </w:pPr>
            <w:r>
              <w:rPr>
                <w:rFonts w:hint="eastAsia" w:ascii="宋体" w:hAnsi="宋体" w:eastAsia="宋体"/>
                <w:sz w:val="24"/>
                <w:szCs w:val="24"/>
              </w:rPr>
              <w:t>第4章 科学交流的测度，第2节 描绘科学交流的总体态势</w:t>
            </w:r>
          </w:p>
        </w:tc>
        <w:tc>
          <w:tcPr>
            <w:tcW w:w="5096" w:type="dxa"/>
            <w:vAlign w:val="center"/>
          </w:tcPr>
          <w:p w14:paraId="27B4A818">
            <w:pPr>
              <w:rPr>
                <w:rFonts w:ascii="宋体" w:hAnsi="宋体" w:eastAsia="宋体"/>
                <w:sz w:val="24"/>
                <w:szCs w:val="24"/>
              </w:rPr>
            </w:pPr>
            <w:r>
              <w:rPr>
                <w:rFonts w:hint="eastAsia" w:ascii="宋体" w:hAnsi="宋体" w:eastAsia="宋体"/>
                <w:sz w:val="24"/>
                <w:szCs w:val="24"/>
              </w:rPr>
              <w:t>介绍如何利用科学文献的外部特征、引文特征、知识单元计量方法等表征科学交流的态势。</w:t>
            </w:r>
          </w:p>
        </w:tc>
        <w:tc>
          <w:tcPr>
            <w:tcW w:w="5096" w:type="dxa"/>
            <w:vAlign w:val="center"/>
          </w:tcPr>
          <w:p w14:paraId="4080BD7B">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2717CC5">
            <w:pPr>
              <w:rPr>
                <w:rFonts w:ascii="宋体" w:hAnsi="宋体" w:eastAsia="宋体"/>
                <w:sz w:val="24"/>
                <w:szCs w:val="24"/>
              </w:rPr>
            </w:pPr>
          </w:p>
        </w:tc>
        <w:tc>
          <w:tcPr>
            <w:tcW w:w="5096" w:type="dxa"/>
            <w:vAlign w:val="center"/>
          </w:tcPr>
          <w:p w14:paraId="526F70F9">
            <w:pPr>
              <w:rPr>
                <w:rFonts w:ascii="宋体" w:hAnsi="宋体" w:eastAsia="宋体"/>
                <w:sz w:val="24"/>
                <w:szCs w:val="24"/>
              </w:rPr>
            </w:pPr>
          </w:p>
        </w:tc>
        <w:tc>
          <w:tcPr>
            <w:tcW w:w="1555" w:type="dxa"/>
            <w:vMerge w:val="restart"/>
            <w:vAlign w:val="center"/>
          </w:tcPr>
          <w:p w14:paraId="5809CF41">
            <w:pPr>
              <w:jc w:val="center"/>
              <w:rPr>
                <w:rFonts w:ascii="宋体" w:hAnsi="宋体" w:eastAsia="宋体"/>
                <w:sz w:val="24"/>
                <w:szCs w:val="24"/>
              </w:rPr>
            </w:pPr>
          </w:p>
        </w:tc>
        <w:tc>
          <w:tcPr>
            <w:tcW w:w="5096" w:type="dxa"/>
            <w:vAlign w:val="center"/>
          </w:tcPr>
          <w:p w14:paraId="3A7ADDBC">
            <w:pPr>
              <w:rPr>
                <w:rFonts w:ascii="宋体" w:hAnsi="宋体" w:eastAsia="宋体"/>
                <w:sz w:val="24"/>
                <w:szCs w:val="24"/>
              </w:rPr>
            </w:pPr>
          </w:p>
        </w:tc>
      </w:tr>
      <w:tr w14:paraId="09AECC6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6059CCC">
            <w:pPr>
              <w:rPr>
                <w:rFonts w:ascii="宋体" w:hAnsi="宋体" w:eastAsia="宋体"/>
                <w:sz w:val="24"/>
                <w:szCs w:val="24"/>
              </w:rPr>
            </w:pPr>
            <w:r>
              <w:rPr>
                <w:rFonts w:hint="eastAsia" w:ascii="宋体" w:hAnsi="宋体" w:eastAsia="宋体"/>
                <w:sz w:val="24"/>
                <w:szCs w:val="24"/>
              </w:rPr>
              <w:t>第5章 科学交流效率评价，第1节 科学交流的质量</w:t>
            </w:r>
          </w:p>
        </w:tc>
        <w:tc>
          <w:tcPr>
            <w:tcW w:w="5096" w:type="dxa"/>
            <w:vAlign w:val="center"/>
          </w:tcPr>
          <w:p w14:paraId="4A8A6E58">
            <w:pPr>
              <w:rPr>
                <w:rFonts w:ascii="宋体" w:hAnsi="宋体" w:eastAsia="宋体"/>
                <w:sz w:val="24"/>
                <w:szCs w:val="24"/>
              </w:rPr>
            </w:pPr>
            <w:r>
              <w:rPr>
                <w:rFonts w:hint="eastAsia" w:ascii="宋体" w:hAnsi="宋体" w:eastAsia="宋体"/>
                <w:sz w:val="24"/>
                <w:szCs w:val="24"/>
              </w:rPr>
              <w:t>介绍科学交流的质量评价方法，包括同行评议方法和主流量化评价方法。</w:t>
            </w:r>
          </w:p>
        </w:tc>
        <w:tc>
          <w:tcPr>
            <w:tcW w:w="5096" w:type="dxa"/>
            <w:vAlign w:val="center"/>
          </w:tcPr>
          <w:p w14:paraId="523D1E18">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B811B76">
            <w:pPr>
              <w:rPr>
                <w:rFonts w:ascii="宋体" w:hAnsi="宋体" w:eastAsia="宋体"/>
                <w:sz w:val="24"/>
                <w:szCs w:val="24"/>
              </w:rPr>
            </w:pPr>
          </w:p>
        </w:tc>
        <w:tc>
          <w:tcPr>
            <w:tcW w:w="5096" w:type="dxa"/>
            <w:vAlign w:val="center"/>
          </w:tcPr>
          <w:p w14:paraId="768537AD">
            <w:pPr>
              <w:rPr>
                <w:rFonts w:ascii="宋体" w:hAnsi="宋体" w:eastAsia="宋体"/>
                <w:sz w:val="24"/>
                <w:szCs w:val="24"/>
              </w:rPr>
            </w:pPr>
          </w:p>
        </w:tc>
        <w:tc>
          <w:tcPr>
            <w:tcW w:w="1555" w:type="dxa"/>
            <w:vMerge w:val="restart"/>
            <w:vAlign w:val="center"/>
          </w:tcPr>
          <w:p w14:paraId="6212A218">
            <w:pPr>
              <w:jc w:val="center"/>
              <w:rPr>
                <w:rFonts w:ascii="宋体" w:hAnsi="宋体" w:eastAsia="宋体"/>
                <w:sz w:val="24"/>
                <w:szCs w:val="24"/>
              </w:rPr>
            </w:pPr>
          </w:p>
        </w:tc>
        <w:tc>
          <w:tcPr>
            <w:tcW w:w="5096" w:type="dxa"/>
            <w:vAlign w:val="center"/>
          </w:tcPr>
          <w:p w14:paraId="255E58D4">
            <w:pPr>
              <w:rPr>
                <w:rFonts w:ascii="宋体" w:hAnsi="宋体" w:eastAsia="宋体"/>
                <w:sz w:val="24"/>
                <w:szCs w:val="24"/>
              </w:rPr>
            </w:pPr>
          </w:p>
        </w:tc>
      </w:tr>
      <w:tr w14:paraId="69A3B76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3057C15">
            <w:pPr>
              <w:rPr>
                <w:rFonts w:ascii="宋体" w:hAnsi="宋体" w:eastAsia="宋体"/>
                <w:sz w:val="24"/>
                <w:szCs w:val="24"/>
              </w:rPr>
            </w:pPr>
            <w:r>
              <w:rPr>
                <w:rFonts w:hint="eastAsia" w:ascii="宋体" w:hAnsi="宋体" w:eastAsia="宋体"/>
                <w:sz w:val="24"/>
                <w:szCs w:val="24"/>
              </w:rPr>
              <w:t>第5章 科学交流效率评价，第2节 科学交流效率，第3节 科学交流的影响因素</w:t>
            </w:r>
          </w:p>
        </w:tc>
        <w:tc>
          <w:tcPr>
            <w:tcW w:w="5096" w:type="dxa"/>
            <w:vAlign w:val="center"/>
          </w:tcPr>
          <w:p w14:paraId="7C7BB3E3">
            <w:pPr>
              <w:rPr>
                <w:rFonts w:ascii="宋体" w:hAnsi="宋体" w:eastAsia="宋体"/>
                <w:sz w:val="24"/>
                <w:szCs w:val="24"/>
              </w:rPr>
            </w:pPr>
            <w:r>
              <w:rPr>
                <w:rFonts w:hint="eastAsia" w:ascii="宋体" w:hAnsi="宋体" w:eastAsia="宋体"/>
                <w:sz w:val="24"/>
                <w:szCs w:val="24"/>
              </w:rPr>
              <w:t>介绍交流效率的评价方法，重点引导学生关注网络环境下不同交流方式对知识传播效果和效率的影响；介绍影响科学交流的内外部影响因素。</w:t>
            </w:r>
          </w:p>
        </w:tc>
        <w:tc>
          <w:tcPr>
            <w:tcW w:w="5096" w:type="dxa"/>
            <w:vAlign w:val="center"/>
          </w:tcPr>
          <w:p w14:paraId="027EC8FE">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3B197F0">
            <w:pPr>
              <w:rPr>
                <w:rFonts w:ascii="宋体" w:hAnsi="宋体" w:eastAsia="宋体"/>
                <w:sz w:val="24"/>
                <w:szCs w:val="24"/>
              </w:rPr>
            </w:pPr>
          </w:p>
        </w:tc>
        <w:tc>
          <w:tcPr>
            <w:tcW w:w="5096" w:type="dxa"/>
            <w:vAlign w:val="center"/>
          </w:tcPr>
          <w:p w14:paraId="46DC6822">
            <w:pPr>
              <w:rPr>
                <w:rFonts w:ascii="宋体" w:hAnsi="宋体" w:eastAsia="宋体"/>
                <w:sz w:val="24"/>
                <w:szCs w:val="24"/>
              </w:rPr>
            </w:pPr>
          </w:p>
        </w:tc>
        <w:tc>
          <w:tcPr>
            <w:tcW w:w="1555" w:type="dxa"/>
            <w:vMerge w:val="restart"/>
            <w:vAlign w:val="center"/>
          </w:tcPr>
          <w:p w14:paraId="6402288F">
            <w:pPr>
              <w:jc w:val="center"/>
              <w:rPr>
                <w:rFonts w:ascii="宋体" w:hAnsi="宋体" w:eastAsia="宋体"/>
                <w:sz w:val="24"/>
                <w:szCs w:val="24"/>
              </w:rPr>
            </w:pPr>
          </w:p>
        </w:tc>
        <w:tc>
          <w:tcPr>
            <w:tcW w:w="5096" w:type="dxa"/>
            <w:vAlign w:val="center"/>
          </w:tcPr>
          <w:p w14:paraId="2315308D">
            <w:pPr>
              <w:rPr>
                <w:rFonts w:ascii="宋体" w:hAnsi="宋体" w:eastAsia="宋体"/>
                <w:sz w:val="24"/>
                <w:szCs w:val="24"/>
              </w:rPr>
            </w:pPr>
          </w:p>
        </w:tc>
      </w:tr>
      <w:tr w14:paraId="66AF7CC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91F1AE0">
            <w:pPr>
              <w:rPr>
                <w:rFonts w:ascii="宋体" w:hAnsi="宋体" w:eastAsia="宋体"/>
                <w:sz w:val="24"/>
                <w:szCs w:val="24"/>
              </w:rPr>
            </w:pPr>
            <w:r>
              <w:rPr>
                <w:rFonts w:hint="eastAsia" w:ascii="宋体" w:hAnsi="宋体" w:eastAsia="宋体"/>
                <w:sz w:val="24"/>
                <w:szCs w:val="24"/>
              </w:rPr>
              <w:t>第6章 作为科学交流主体的科研人员，第1节 科研人员的分类与特征，第2节 科学交流需求</w:t>
            </w:r>
          </w:p>
        </w:tc>
        <w:tc>
          <w:tcPr>
            <w:tcW w:w="5096" w:type="dxa"/>
            <w:vAlign w:val="center"/>
          </w:tcPr>
          <w:p w14:paraId="2FE60C59">
            <w:pPr>
              <w:rPr>
                <w:rFonts w:ascii="宋体" w:hAnsi="宋体" w:eastAsia="宋体"/>
                <w:sz w:val="24"/>
                <w:szCs w:val="24"/>
              </w:rPr>
            </w:pPr>
            <w:r>
              <w:rPr>
                <w:rFonts w:hint="eastAsia" w:ascii="宋体" w:hAnsi="宋体" w:eastAsia="宋体"/>
                <w:sz w:val="24"/>
                <w:szCs w:val="24"/>
              </w:rPr>
              <w:t>重点介绍科研人员参与科研交流的行为特征，包括科研人员的不同类型，以科学家和工程师为例说明不同类型科研人员知识需求的差异以及在交流过程中的行为差异。</w:t>
            </w:r>
          </w:p>
        </w:tc>
        <w:tc>
          <w:tcPr>
            <w:tcW w:w="5096" w:type="dxa"/>
            <w:vAlign w:val="center"/>
          </w:tcPr>
          <w:p w14:paraId="7140043A">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C162969">
            <w:pPr>
              <w:rPr>
                <w:rFonts w:ascii="宋体" w:hAnsi="宋体" w:eastAsia="宋体"/>
                <w:sz w:val="24"/>
                <w:szCs w:val="24"/>
              </w:rPr>
            </w:pPr>
          </w:p>
        </w:tc>
        <w:tc>
          <w:tcPr>
            <w:tcW w:w="5096" w:type="dxa"/>
            <w:vAlign w:val="center"/>
          </w:tcPr>
          <w:p w14:paraId="3462150B">
            <w:pPr>
              <w:rPr>
                <w:rFonts w:ascii="宋体" w:hAnsi="宋体" w:eastAsia="宋体"/>
                <w:sz w:val="24"/>
                <w:szCs w:val="24"/>
              </w:rPr>
            </w:pPr>
          </w:p>
        </w:tc>
        <w:tc>
          <w:tcPr>
            <w:tcW w:w="1555" w:type="dxa"/>
            <w:vMerge w:val="restart"/>
            <w:vAlign w:val="center"/>
          </w:tcPr>
          <w:p w14:paraId="011603BB">
            <w:pPr>
              <w:jc w:val="center"/>
              <w:rPr>
                <w:rFonts w:ascii="宋体" w:hAnsi="宋体" w:eastAsia="宋体"/>
                <w:sz w:val="24"/>
                <w:szCs w:val="24"/>
              </w:rPr>
            </w:pPr>
          </w:p>
        </w:tc>
        <w:tc>
          <w:tcPr>
            <w:tcW w:w="5096" w:type="dxa"/>
            <w:vAlign w:val="center"/>
          </w:tcPr>
          <w:p w14:paraId="597B8791">
            <w:pPr>
              <w:rPr>
                <w:rFonts w:ascii="宋体" w:hAnsi="宋体" w:eastAsia="宋体"/>
                <w:sz w:val="24"/>
                <w:szCs w:val="24"/>
              </w:rPr>
            </w:pPr>
          </w:p>
        </w:tc>
      </w:tr>
      <w:tr w14:paraId="3B47FD0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BBF7101">
            <w:pPr>
              <w:rPr>
                <w:rFonts w:ascii="宋体" w:hAnsi="宋体" w:eastAsia="宋体"/>
                <w:sz w:val="24"/>
                <w:szCs w:val="24"/>
              </w:rPr>
            </w:pPr>
            <w:r>
              <w:rPr>
                <w:rFonts w:hint="eastAsia" w:ascii="宋体" w:hAnsi="宋体" w:eastAsia="宋体"/>
                <w:sz w:val="24"/>
                <w:szCs w:val="24"/>
              </w:rPr>
              <w:t>文献数据分析实践课</w:t>
            </w:r>
          </w:p>
        </w:tc>
        <w:tc>
          <w:tcPr>
            <w:tcW w:w="5096" w:type="dxa"/>
            <w:vAlign w:val="center"/>
          </w:tcPr>
          <w:p w14:paraId="4386B04A">
            <w:pPr>
              <w:rPr>
                <w:rFonts w:ascii="宋体" w:hAnsi="宋体" w:eastAsia="宋体"/>
                <w:sz w:val="24"/>
                <w:szCs w:val="24"/>
              </w:rPr>
            </w:pPr>
            <w:r>
              <w:rPr>
                <w:rFonts w:hint="eastAsia" w:ascii="宋体" w:hAnsi="宋体" w:eastAsia="宋体"/>
                <w:sz w:val="24"/>
                <w:szCs w:val="24"/>
              </w:rPr>
              <w:t>重点学习文献数据分析和可视化方法，理解科学交流的量化测度。</w:t>
            </w:r>
          </w:p>
        </w:tc>
        <w:tc>
          <w:tcPr>
            <w:tcW w:w="5096" w:type="dxa"/>
            <w:vAlign w:val="center"/>
          </w:tcPr>
          <w:p w14:paraId="19DD41BC">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B86F565">
            <w:pPr>
              <w:rPr>
                <w:rFonts w:ascii="宋体" w:hAnsi="宋体" w:eastAsia="宋体"/>
                <w:sz w:val="24"/>
                <w:szCs w:val="24"/>
              </w:rPr>
            </w:pPr>
          </w:p>
        </w:tc>
        <w:tc>
          <w:tcPr>
            <w:tcW w:w="5096" w:type="dxa"/>
            <w:vAlign w:val="center"/>
          </w:tcPr>
          <w:p w14:paraId="3A3834A5">
            <w:pPr>
              <w:rPr>
                <w:rFonts w:ascii="宋体" w:hAnsi="宋体" w:eastAsia="宋体"/>
                <w:sz w:val="24"/>
                <w:szCs w:val="24"/>
              </w:rPr>
            </w:pPr>
          </w:p>
        </w:tc>
        <w:tc>
          <w:tcPr>
            <w:tcW w:w="1555" w:type="dxa"/>
            <w:vMerge w:val="restart"/>
            <w:vAlign w:val="center"/>
          </w:tcPr>
          <w:p w14:paraId="1E2B2141">
            <w:pPr>
              <w:jc w:val="center"/>
              <w:rPr>
                <w:rFonts w:ascii="宋体" w:hAnsi="宋体" w:eastAsia="宋体"/>
                <w:sz w:val="24"/>
                <w:szCs w:val="24"/>
              </w:rPr>
            </w:pPr>
          </w:p>
        </w:tc>
        <w:tc>
          <w:tcPr>
            <w:tcW w:w="5096" w:type="dxa"/>
            <w:vAlign w:val="center"/>
          </w:tcPr>
          <w:p w14:paraId="559AD558">
            <w:pPr>
              <w:rPr>
                <w:rFonts w:ascii="宋体" w:hAnsi="宋体" w:eastAsia="宋体"/>
                <w:sz w:val="24"/>
                <w:szCs w:val="24"/>
              </w:rPr>
            </w:pPr>
          </w:p>
        </w:tc>
      </w:tr>
      <w:tr w14:paraId="262E485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9B5F4F6">
            <w:pPr>
              <w:rPr>
                <w:rFonts w:ascii="宋体" w:hAnsi="宋体" w:eastAsia="宋体"/>
                <w:sz w:val="24"/>
                <w:szCs w:val="24"/>
              </w:rPr>
            </w:pPr>
            <w:r>
              <w:rPr>
                <w:rFonts w:hint="eastAsia" w:ascii="宋体" w:hAnsi="宋体" w:eastAsia="宋体"/>
                <w:sz w:val="24"/>
                <w:szCs w:val="24"/>
              </w:rPr>
              <w:t>文献数据分析实践课</w:t>
            </w:r>
          </w:p>
        </w:tc>
        <w:tc>
          <w:tcPr>
            <w:tcW w:w="5096" w:type="dxa"/>
            <w:vAlign w:val="center"/>
          </w:tcPr>
          <w:p w14:paraId="638474C1">
            <w:pPr>
              <w:rPr>
                <w:rFonts w:ascii="宋体" w:hAnsi="宋体" w:eastAsia="宋体"/>
                <w:sz w:val="24"/>
                <w:szCs w:val="24"/>
              </w:rPr>
            </w:pPr>
            <w:r>
              <w:rPr>
                <w:rFonts w:hint="eastAsia" w:ascii="宋体" w:hAnsi="宋体" w:eastAsia="宋体"/>
                <w:sz w:val="24"/>
                <w:szCs w:val="24"/>
              </w:rPr>
              <w:t>重点学习文献数据分析和可视化方法，理解科学交流的量化测度。</w:t>
            </w:r>
          </w:p>
        </w:tc>
        <w:tc>
          <w:tcPr>
            <w:tcW w:w="5096" w:type="dxa"/>
            <w:vAlign w:val="center"/>
          </w:tcPr>
          <w:p w14:paraId="4386D5E3">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5031792">
            <w:pPr>
              <w:rPr>
                <w:rFonts w:ascii="宋体" w:hAnsi="宋体" w:eastAsia="宋体"/>
                <w:sz w:val="24"/>
                <w:szCs w:val="24"/>
              </w:rPr>
            </w:pPr>
          </w:p>
        </w:tc>
        <w:tc>
          <w:tcPr>
            <w:tcW w:w="5096" w:type="dxa"/>
            <w:vAlign w:val="center"/>
          </w:tcPr>
          <w:p w14:paraId="00100193">
            <w:pPr>
              <w:rPr>
                <w:rFonts w:ascii="宋体" w:hAnsi="宋体" w:eastAsia="宋体"/>
                <w:sz w:val="24"/>
                <w:szCs w:val="24"/>
              </w:rPr>
            </w:pPr>
          </w:p>
        </w:tc>
        <w:tc>
          <w:tcPr>
            <w:tcW w:w="1555" w:type="dxa"/>
            <w:vMerge w:val="restart"/>
            <w:vAlign w:val="center"/>
          </w:tcPr>
          <w:p w14:paraId="67B0D158">
            <w:pPr>
              <w:jc w:val="center"/>
              <w:rPr>
                <w:rFonts w:ascii="宋体" w:hAnsi="宋体" w:eastAsia="宋体"/>
                <w:sz w:val="24"/>
                <w:szCs w:val="24"/>
              </w:rPr>
            </w:pPr>
          </w:p>
        </w:tc>
        <w:tc>
          <w:tcPr>
            <w:tcW w:w="5096" w:type="dxa"/>
            <w:vAlign w:val="center"/>
          </w:tcPr>
          <w:p w14:paraId="5AE68D7E">
            <w:pPr>
              <w:rPr>
                <w:rFonts w:ascii="宋体" w:hAnsi="宋体" w:eastAsia="宋体"/>
                <w:sz w:val="24"/>
                <w:szCs w:val="24"/>
              </w:rPr>
            </w:pPr>
          </w:p>
        </w:tc>
      </w:tr>
      <w:tr w14:paraId="28D0905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9A80752">
            <w:pPr>
              <w:rPr>
                <w:rFonts w:ascii="宋体" w:hAnsi="宋体" w:eastAsia="宋体"/>
                <w:sz w:val="24"/>
                <w:szCs w:val="24"/>
              </w:rPr>
            </w:pPr>
            <w:r>
              <w:rPr>
                <w:rFonts w:hint="eastAsia" w:ascii="宋体" w:hAnsi="宋体" w:eastAsia="宋体"/>
                <w:sz w:val="24"/>
                <w:szCs w:val="24"/>
              </w:rPr>
              <w:t>第6章 作为科学交流主体的科研人员，第3节 科研人员的学术交流行为</w:t>
            </w:r>
          </w:p>
        </w:tc>
        <w:tc>
          <w:tcPr>
            <w:tcW w:w="5096" w:type="dxa"/>
            <w:vAlign w:val="center"/>
          </w:tcPr>
          <w:p w14:paraId="58F2A2DC">
            <w:pPr>
              <w:rPr>
                <w:rFonts w:ascii="宋体" w:hAnsi="宋体" w:eastAsia="宋体"/>
                <w:sz w:val="24"/>
                <w:szCs w:val="24"/>
              </w:rPr>
            </w:pPr>
            <w:r>
              <w:rPr>
                <w:rFonts w:hint="eastAsia" w:ascii="宋体" w:hAnsi="宋体" w:eastAsia="宋体"/>
                <w:sz w:val="24"/>
                <w:szCs w:val="24"/>
              </w:rPr>
              <w:t>重点介绍网络环境下科研人员如何开展学术交流，包括利用各类学术社交媒体建立个人学术形象等。</w:t>
            </w:r>
          </w:p>
        </w:tc>
        <w:tc>
          <w:tcPr>
            <w:tcW w:w="5096" w:type="dxa"/>
            <w:vAlign w:val="center"/>
          </w:tcPr>
          <w:p w14:paraId="40F4C08A">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BB376D9">
            <w:pPr>
              <w:rPr>
                <w:rFonts w:ascii="宋体" w:hAnsi="宋体" w:eastAsia="宋体"/>
                <w:sz w:val="24"/>
                <w:szCs w:val="24"/>
              </w:rPr>
            </w:pPr>
            <w:r>
              <w:rPr>
                <w:rFonts w:hint="eastAsia" w:ascii="宋体" w:hAnsi="宋体" w:eastAsia="宋体"/>
                <w:sz w:val="24"/>
                <w:szCs w:val="24"/>
              </w:rPr>
              <w:t>引导学生关注科普工作，认识到科普工作是为人民服务核心价值观的体现。</w:t>
            </w:r>
          </w:p>
        </w:tc>
        <w:tc>
          <w:tcPr>
            <w:tcW w:w="5096" w:type="dxa"/>
            <w:vAlign w:val="center"/>
          </w:tcPr>
          <w:p w14:paraId="61AC2749">
            <w:pPr>
              <w:rPr>
                <w:rFonts w:ascii="宋体" w:hAnsi="宋体" w:eastAsia="宋体"/>
                <w:sz w:val="24"/>
                <w:szCs w:val="24"/>
              </w:rPr>
            </w:pPr>
          </w:p>
        </w:tc>
        <w:tc>
          <w:tcPr>
            <w:tcW w:w="1555" w:type="dxa"/>
            <w:vMerge w:val="restart"/>
            <w:vAlign w:val="center"/>
          </w:tcPr>
          <w:p w14:paraId="3F14A3C7">
            <w:pPr>
              <w:jc w:val="center"/>
              <w:rPr>
                <w:rFonts w:ascii="宋体" w:hAnsi="宋体" w:eastAsia="宋体"/>
                <w:sz w:val="24"/>
                <w:szCs w:val="24"/>
              </w:rPr>
            </w:pPr>
          </w:p>
        </w:tc>
        <w:tc>
          <w:tcPr>
            <w:tcW w:w="5096" w:type="dxa"/>
            <w:vAlign w:val="center"/>
          </w:tcPr>
          <w:p w14:paraId="6BC4AC49">
            <w:pPr>
              <w:rPr>
                <w:rFonts w:ascii="宋体" w:hAnsi="宋体" w:eastAsia="宋体"/>
                <w:sz w:val="24"/>
                <w:szCs w:val="24"/>
              </w:rPr>
            </w:pPr>
          </w:p>
        </w:tc>
      </w:tr>
      <w:tr w14:paraId="2E10C82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A922EE1">
            <w:pPr>
              <w:rPr>
                <w:rFonts w:ascii="宋体" w:hAnsi="宋体" w:eastAsia="宋体"/>
                <w:sz w:val="24"/>
                <w:szCs w:val="24"/>
              </w:rPr>
            </w:pPr>
            <w:r>
              <w:rPr>
                <w:rFonts w:hint="eastAsia" w:ascii="宋体" w:hAnsi="宋体" w:eastAsia="宋体"/>
                <w:sz w:val="24"/>
                <w:szCs w:val="24"/>
              </w:rPr>
              <w:t>第6章 作为科学交流主体的科研人员，第4节 科学合作，第5节 科普推广与公众参与</w:t>
            </w:r>
          </w:p>
        </w:tc>
        <w:tc>
          <w:tcPr>
            <w:tcW w:w="5096" w:type="dxa"/>
            <w:vAlign w:val="center"/>
          </w:tcPr>
          <w:p w14:paraId="658890F5">
            <w:pPr>
              <w:rPr>
                <w:rFonts w:ascii="宋体" w:hAnsi="宋体" w:eastAsia="宋体"/>
                <w:sz w:val="24"/>
                <w:szCs w:val="24"/>
              </w:rPr>
            </w:pPr>
            <w:r>
              <w:rPr>
                <w:rFonts w:hint="eastAsia" w:ascii="宋体" w:hAnsi="宋体" w:eastAsia="宋体"/>
                <w:sz w:val="24"/>
                <w:szCs w:val="24"/>
              </w:rPr>
              <w:t>重点介绍科学合作网络、网络环境下的科学合作、大科学时代的科学合作特征等，介绍如何将科学知识传播给大众，如何塑造科研工作的社会影响力等。</w:t>
            </w:r>
          </w:p>
        </w:tc>
        <w:tc>
          <w:tcPr>
            <w:tcW w:w="5096" w:type="dxa"/>
            <w:vAlign w:val="center"/>
          </w:tcPr>
          <w:p w14:paraId="5FE3531C">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368D3BD">
            <w:pPr>
              <w:rPr>
                <w:rFonts w:ascii="宋体" w:hAnsi="宋体" w:eastAsia="宋体"/>
                <w:sz w:val="24"/>
                <w:szCs w:val="24"/>
              </w:rPr>
            </w:pPr>
            <w:r>
              <w:rPr>
                <w:rFonts w:hint="eastAsia" w:ascii="宋体" w:hAnsi="宋体" w:eastAsia="宋体"/>
                <w:sz w:val="24"/>
                <w:szCs w:val="24"/>
              </w:rPr>
              <w:t>引导学生关注时政，学以致用，胸怀天下，树立大志向。</w:t>
            </w:r>
          </w:p>
        </w:tc>
        <w:tc>
          <w:tcPr>
            <w:tcW w:w="5096" w:type="dxa"/>
            <w:vAlign w:val="center"/>
          </w:tcPr>
          <w:p w14:paraId="3C25C6CD">
            <w:pPr>
              <w:rPr>
                <w:rFonts w:ascii="宋体" w:hAnsi="宋体" w:eastAsia="宋体"/>
                <w:sz w:val="24"/>
                <w:szCs w:val="24"/>
              </w:rPr>
            </w:pPr>
          </w:p>
        </w:tc>
        <w:tc>
          <w:tcPr>
            <w:tcW w:w="1555" w:type="dxa"/>
            <w:vMerge w:val="restart"/>
            <w:vAlign w:val="center"/>
          </w:tcPr>
          <w:p w14:paraId="5F35F1FB">
            <w:pPr>
              <w:jc w:val="center"/>
              <w:rPr>
                <w:rFonts w:ascii="宋体" w:hAnsi="宋体" w:eastAsia="宋体"/>
                <w:sz w:val="24"/>
                <w:szCs w:val="24"/>
              </w:rPr>
            </w:pPr>
          </w:p>
        </w:tc>
        <w:tc>
          <w:tcPr>
            <w:tcW w:w="5096" w:type="dxa"/>
            <w:vAlign w:val="center"/>
          </w:tcPr>
          <w:p w14:paraId="4C628F5A">
            <w:pPr>
              <w:rPr>
                <w:rFonts w:ascii="宋体" w:hAnsi="宋体" w:eastAsia="宋体"/>
                <w:sz w:val="24"/>
                <w:szCs w:val="24"/>
              </w:rPr>
            </w:pPr>
          </w:p>
        </w:tc>
      </w:tr>
      <w:tr w14:paraId="70873A3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DB948CF">
            <w:pPr>
              <w:rPr>
                <w:rFonts w:ascii="宋体" w:hAnsi="宋体" w:eastAsia="宋体"/>
                <w:sz w:val="24"/>
                <w:szCs w:val="24"/>
              </w:rPr>
            </w:pPr>
            <w:r>
              <w:rPr>
                <w:rFonts w:hint="eastAsia" w:ascii="宋体" w:hAnsi="宋体" w:eastAsia="宋体"/>
                <w:sz w:val="24"/>
                <w:szCs w:val="24"/>
              </w:rPr>
              <w:t>课程汇报；期末复习</w:t>
            </w:r>
          </w:p>
        </w:tc>
        <w:tc>
          <w:tcPr>
            <w:tcW w:w="5096" w:type="dxa"/>
            <w:vAlign w:val="center"/>
          </w:tcPr>
          <w:p w14:paraId="10BA4854">
            <w:pPr>
              <w:rPr>
                <w:rFonts w:ascii="宋体" w:hAnsi="宋体" w:eastAsia="宋体"/>
                <w:sz w:val="24"/>
                <w:szCs w:val="24"/>
              </w:rPr>
            </w:pPr>
            <w:r>
              <w:rPr>
                <w:rFonts w:hint="eastAsia" w:ascii="宋体" w:hAnsi="宋体" w:eastAsia="宋体"/>
                <w:sz w:val="24"/>
                <w:szCs w:val="24"/>
              </w:rPr>
              <w:t>课程汇报；期末复习</w:t>
            </w:r>
          </w:p>
        </w:tc>
        <w:tc>
          <w:tcPr>
            <w:tcW w:w="5096" w:type="dxa"/>
            <w:vAlign w:val="center"/>
          </w:tcPr>
          <w:p w14:paraId="2C77859E">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3F1D741A">
            <w:pPr>
              <w:rPr>
                <w:rFonts w:ascii="宋体" w:hAnsi="宋体" w:eastAsia="宋体"/>
                <w:sz w:val="24"/>
                <w:szCs w:val="24"/>
              </w:rPr>
            </w:pPr>
          </w:p>
        </w:tc>
        <w:tc>
          <w:tcPr>
            <w:tcW w:w="5096" w:type="dxa"/>
            <w:vAlign w:val="center"/>
          </w:tcPr>
          <w:p w14:paraId="191F4196">
            <w:pPr>
              <w:rPr>
                <w:rFonts w:ascii="宋体" w:hAnsi="宋体" w:eastAsia="宋体"/>
                <w:sz w:val="24"/>
                <w:szCs w:val="24"/>
              </w:rPr>
            </w:pPr>
          </w:p>
        </w:tc>
        <w:tc>
          <w:tcPr>
            <w:tcW w:w="1555" w:type="dxa"/>
            <w:vAlign w:val="center"/>
          </w:tcPr>
          <w:p w14:paraId="3876CD9F">
            <w:pPr>
              <w:jc w:val="center"/>
              <w:rPr>
                <w:rFonts w:ascii="宋体" w:hAnsi="宋体" w:eastAsia="宋体"/>
                <w:sz w:val="24"/>
                <w:szCs w:val="24"/>
              </w:rPr>
            </w:pPr>
          </w:p>
        </w:tc>
        <w:tc>
          <w:tcPr>
            <w:tcW w:w="5096" w:type="dxa"/>
            <w:vAlign w:val="center"/>
          </w:tcPr>
          <w:p w14:paraId="4FC8F9E0">
            <w:pPr>
              <w:rPr>
                <w:rFonts w:ascii="宋体" w:hAnsi="宋体" w:eastAsia="宋体"/>
                <w:sz w:val="24"/>
                <w:szCs w:val="24"/>
              </w:rPr>
            </w:pPr>
          </w:p>
        </w:tc>
      </w:tr>
    </w:tbl>
    <w:p w14:paraId="0304B9CB">
      <w:pPr>
        <w:spacing w:line="480" w:lineRule="exact"/>
        <w:ind w:firstLine="360" w:firstLineChars="150"/>
        <w:rPr>
          <w:rFonts w:hint="eastAsia"/>
          <w:sz w:val="24"/>
        </w:rPr>
      </w:pPr>
      <w:r>
        <w:rPr>
          <w:sz w:val="24"/>
        </w:rPr>
        <w:t>合计:36</w:t>
      </w:r>
    </w:p>
    <w:p w14:paraId="69F286F7">
      <w:pPr>
        <w:spacing w:line="480" w:lineRule="exact"/>
        <w:rPr>
          <w:sz w:val="24"/>
        </w:rPr>
      </w:pPr>
    </w:p>
    <w:p w14:paraId="009DC1B3">
      <w:pPr>
        <w:spacing w:line="480" w:lineRule="exact"/>
        <w:rPr>
          <w:rFonts w:hint="eastAsia"/>
          <w:sz w:val="24"/>
        </w:rPr>
      </w:pPr>
    </w:p>
    <w:p w14:paraId="2EE07515">
      <w:pPr>
        <w:spacing w:line="480" w:lineRule="exact"/>
        <w:ind w:firstLine="480" w:firstLineChars="200"/>
        <w:rPr>
          <w:sz w:val="24"/>
        </w:rPr>
      </w:pPr>
      <w:r>
        <w:rPr>
          <w:sz w:val="24"/>
        </w:rPr>
        <w:t>（二）</w:t>
      </w:r>
      <w:r>
        <w:rPr>
          <w:b/>
          <w:sz w:val="24"/>
        </w:rPr>
        <w:t>教学环节安排</w:t>
      </w:r>
    </w:p>
    <w:p w14:paraId="426472EC">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763B3A26">
      <w:pPr>
        <w:spacing w:line="480" w:lineRule="exact"/>
        <w:ind w:firstLine="360" w:firstLineChars="150"/>
        <w:rPr>
          <w:rFonts w:hint="eastAsia"/>
          <w:sz w:val="24"/>
        </w:rPr>
      </w:pPr>
      <w:r>
        <w:rPr>
          <w:sz w:val="24"/>
        </w:rPr>
        <w:t>本课程安排理论讲授、课外实践和学术汇报环节，考查学生对知识点的掌握和理解，着重培养学生发现问题、解决实践问题的能力。</w:t>
      </w:r>
    </w:p>
    <w:p w14:paraId="430ECE9B">
      <w:pPr>
        <w:spacing w:line="480" w:lineRule="exact"/>
        <w:rPr>
          <w:sz w:val="24"/>
        </w:rPr>
      </w:pPr>
    </w:p>
    <w:p w14:paraId="09CD67F2">
      <w:pPr>
        <w:spacing w:line="480" w:lineRule="exact"/>
        <w:ind w:firstLine="480" w:firstLineChars="200"/>
        <w:rPr>
          <w:rFonts w:hint="eastAsia"/>
          <w:sz w:val="24"/>
        </w:rPr>
      </w:pPr>
      <w:r>
        <w:rPr>
          <w:sz w:val="24"/>
        </w:rPr>
        <w:t>（三）</w:t>
      </w:r>
      <w:r>
        <w:rPr>
          <w:b/>
          <w:sz w:val="24"/>
        </w:rPr>
        <w:t>教学方法</w:t>
      </w:r>
    </w:p>
    <w:p w14:paraId="02084941">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74E08B5D">
      <w:pPr>
        <w:spacing w:line="480" w:lineRule="exact"/>
        <w:ind w:firstLine="360" w:firstLineChars="150"/>
        <w:rPr>
          <w:rFonts w:hint="eastAsia"/>
          <w:sz w:val="24"/>
        </w:rPr>
      </w:pPr>
      <w:r>
        <w:rPr>
          <w:sz w:val="24"/>
        </w:rPr>
        <w:t>在课堂讲授的同时向学生提出一些启发性的问题，让学生参与讨论，在讨论的过程中对所学内容有所认识和思考。</w:t>
      </w:r>
    </w:p>
    <w:p w14:paraId="235E5B7D">
      <w:pPr>
        <w:spacing w:line="480" w:lineRule="exact"/>
        <w:ind w:firstLine="360" w:firstLineChars="150"/>
        <w:rPr>
          <w:sz w:val="24"/>
        </w:rPr>
      </w:pPr>
    </w:p>
    <w:p w14:paraId="79BD9A1D">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29ADF7B1">
      <w:pPr>
        <w:spacing w:line="480" w:lineRule="exact"/>
        <w:ind w:firstLine="360" w:firstLineChars="150"/>
        <w:rPr>
          <w:sz w:val="24"/>
        </w:rPr>
      </w:pPr>
      <w:r>
        <w:rPr>
          <w:rFonts w:hint="eastAsia"/>
          <w:sz w:val="24"/>
        </w:rPr>
        <w:t>无</w:t>
      </w:r>
    </w:p>
    <w:p w14:paraId="543C88E5">
      <w:pPr>
        <w:spacing w:line="480" w:lineRule="exact"/>
        <w:ind w:firstLine="360" w:firstLineChars="150"/>
        <w:rPr>
          <w:sz w:val="24"/>
        </w:rPr>
      </w:pPr>
    </w:p>
    <w:p w14:paraId="38133CB7">
      <w:pPr>
        <w:spacing w:line="480" w:lineRule="exact"/>
        <w:ind w:firstLine="480" w:firstLineChars="200"/>
        <w:rPr>
          <w:sz w:val="24"/>
        </w:rPr>
      </w:pPr>
      <w:r>
        <w:rPr>
          <w:sz w:val="24"/>
        </w:rPr>
        <w:t>（五）</w:t>
      </w:r>
      <w:r>
        <w:rPr>
          <w:b/>
          <w:sz w:val="24"/>
        </w:rPr>
        <w:t>主要参考书目</w:t>
      </w:r>
    </w:p>
    <w:p w14:paraId="6EF1C678">
      <w:pPr>
        <w:spacing w:line="480" w:lineRule="exact"/>
        <w:ind w:firstLine="482" w:firstLineChars="200"/>
        <w:rPr>
          <w:sz w:val="24"/>
        </w:rPr>
      </w:pPr>
      <w:r>
        <w:rPr>
          <w:b/>
          <w:sz w:val="24"/>
        </w:rPr>
        <w:t>（推荐若干参考书，并注明书名、作者、出版社、版本、出版日期等，每个章节指定一定数量、明确的阅读资料）</w:t>
      </w:r>
    </w:p>
    <w:p w14:paraId="0803189E">
      <w:pPr>
        <w:spacing w:line="480" w:lineRule="exact"/>
        <w:ind w:firstLine="360" w:firstLineChars="150"/>
        <w:rPr>
          <w:sz w:val="24"/>
        </w:rPr>
      </w:pPr>
      <w:r>
        <w:rPr>
          <w:rFonts w:hint="eastAsia"/>
          <w:sz w:val="24"/>
        </w:rPr>
        <w:t>贝尔纳著, 科学的社会功能, 北京：商务印书馆, 2023.</w:t>
      </w:r>
    </w:p>
    <w:p w14:paraId="297F1F80">
      <w:pPr>
        <w:spacing w:line="480" w:lineRule="exact"/>
        <w:ind w:firstLine="360" w:firstLineChars="150"/>
        <w:rPr>
          <w:sz w:val="24"/>
        </w:rPr>
      </w:pPr>
      <w:r>
        <w:rPr>
          <w:rFonts w:hint="eastAsia"/>
          <w:sz w:val="24"/>
        </w:rPr>
        <w:t>宋丽萍. 数字环境下的学术交流与学术评价，北京：中国社会科学出版社，2019.</w:t>
      </w:r>
    </w:p>
    <w:p w14:paraId="5EE94244">
      <w:pPr>
        <w:spacing w:line="480" w:lineRule="exact"/>
        <w:ind w:firstLine="360" w:firstLineChars="150"/>
        <w:rPr>
          <w:sz w:val="24"/>
        </w:rPr>
      </w:pPr>
      <w:r>
        <w:rPr>
          <w:rFonts w:hint="eastAsia"/>
          <w:sz w:val="24"/>
        </w:rPr>
        <w:t>托马斯.库恩，伊恩.哈金，科学革命的结构, 北京：北京大学出版社, 2022.</w:t>
      </w:r>
    </w:p>
    <w:p w14:paraId="5FCC1AB9">
      <w:pPr>
        <w:spacing w:line="480" w:lineRule="exact"/>
        <w:ind w:firstLine="360" w:firstLineChars="150"/>
        <w:rPr>
          <w:sz w:val="24"/>
        </w:rPr>
      </w:pPr>
      <w:r>
        <w:rPr>
          <w:rFonts w:hint="eastAsia"/>
          <w:sz w:val="24"/>
        </w:rPr>
        <w:t>萨姆.伊林沃思，格兰特.艾伦, 高效的科学交流，上海：上海交通大学出版社, 2019.</w:t>
      </w:r>
    </w:p>
    <w:p w14:paraId="3DD38EC1">
      <w:pPr>
        <w:spacing w:line="480" w:lineRule="exact"/>
        <w:ind w:firstLine="360" w:firstLineChars="150"/>
        <w:rPr>
          <w:sz w:val="24"/>
        </w:rPr>
      </w:pPr>
      <w:r>
        <w:rPr>
          <w:rFonts w:hint="eastAsia"/>
          <w:sz w:val="24"/>
        </w:rPr>
        <w:t>米哈依诺夫等著，徐新民等译，科学交流与情报学, 北京：科学技术文献出版社, 1980.</w:t>
      </w:r>
    </w:p>
    <w:p w14:paraId="158597A8">
      <w:pPr>
        <w:spacing w:line="480" w:lineRule="exact"/>
        <w:ind w:firstLine="480" w:firstLineChars="200"/>
        <w:rPr>
          <w:sz w:val="24"/>
        </w:rPr>
      </w:pPr>
      <w:r>
        <w:rPr>
          <w:sz w:val="24"/>
        </w:rPr>
        <w:t>（六）</w:t>
      </w:r>
      <w:r>
        <w:rPr>
          <w:b/>
          <w:sz w:val="24"/>
        </w:rPr>
        <w:t>成绩评定方式</w:t>
      </w:r>
    </w:p>
    <w:p w14:paraId="27E596CE">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2A0E238D">
      <w:pPr>
        <w:spacing w:line="480" w:lineRule="exact"/>
        <w:ind w:firstLine="482" w:firstLineChars="200"/>
        <w:rPr>
          <w:sz w:val="24"/>
        </w:rPr>
      </w:pPr>
      <w:r>
        <w:rPr>
          <w:rFonts w:hint="eastAsia"/>
          <w:b/>
          <w:sz w:val="24"/>
        </w:rPr>
        <w:t>考 核 方 式：考查</w:t>
      </w:r>
    </w:p>
    <w:p w14:paraId="22AFC713">
      <w:pPr>
        <w:spacing w:line="480" w:lineRule="exact"/>
        <w:ind w:firstLine="482" w:firstLineChars="200"/>
        <w:rPr>
          <w:sz w:val="24"/>
        </w:rPr>
      </w:pPr>
      <w:r>
        <w:rPr>
          <w:rFonts w:hint="eastAsia"/>
          <w:b/>
          <w:sz w:val="24"/>
        </w:rPr>
        <w:t>成绩录入方式： 百分制</w:t>
      </w:r>
    </w:p>
    <w:p w14:paraId="466F3F76">
      <w:pPr>
        <w:spacing w:line="480" w:lineRule="exact"/>
        <w:ind w:firstLine="360" w:firstLineChars="150"/>
        <w:rPr>
          <w:sz w:val="24"/>
        </w:rPr>
      </w:pPr>
      <w:r>
        <w:rPr>
          <w:rFonts w:hint="eastAsia"/>
          <w:sz w:val="24"/>
        </w:rPr>
        <w:t>一、总成绩构成：平时考核占比40%，期末考核占比60%。</w:t>
      </w:r>
    </w:p>
    <w:p w14:paraId="61DF5E02">
      <w:pPr>
        <w:spacing w:line="480" w:lineRule="exact"/>
        <w:ind w:firstLine="360" w:firstLineChars="150"/>
        <w:rPr>
          <w:sz w:val="24"/>
        </w:rPr>
      </w:pPr>
      <w:r>
        <w:rPr>
          <w:rFonts w:hint="eastAsia"/>
          <w:sz w:val="24"/>
        </w:rPr>
        <w:t>二、平时考核说明：</w:t>
      </w:r>
    </w:p>
    <w:p w14:paraId="0D16517C">
      <w:pPr>
        <w:spacing w:line="480" w:lineRule="exact"/>
        <w:ind w:firstLine="360" w:firstLineChars="150"/>
        <w:rPr>
          <w:sz w:val="24"/>
        </w:rPr>
      </w:pPr>
      <w:r>
        <w:rPr>
          <w:rFonts w:hint="eastAsia"/>
          <w:sz w:val="24"/>
        </w:rPr>
        <w:t>（1）课堂参与度与出勤情况（占平时成绩10%）。每学期考勤次数不少于5次，每次考勤2分，无故旷课、迟到、早退等情况扣除当次考勤分数。请假须按照学校规定执行，须提前请假，不得由他人代请假；却因特殊情况未提前请假的，须事后1周内补齐请假手续，否则按旷课处理。</w:t>
      </w:r>
    </w:p>
    <w:p w14:paraId="75C7F0A5">
      <w:pPr>
        <w:spacing w:line="480" w:lineRule="exact"/>
        <w:ind w:firstLine="360" w:firstLineChars="150"/>
        <w:rPr>
          <w:sz w:val="24"/>
        </w:rPr>
      </w:pPr>
      <w:r>
        <w:rPr>
          <w:rFonts w:hint="eastAsia"/>
          <w:sz w:val="24"/>
        </w:rPr>
        <w:t>（2）三次课后作业（占平时成绩90%）。根据教学进度安排3次课后作业，每次作业30分。主要考察学生对讲授内容的理解和运用能力，由任课教师批阅并给分。未交、缓交作业的，当次不给分。因请假造成缓交作业的，须于销假时补交作业，否则按未交作业处理。</w:t>
      </w:r>
    </w:p>
    <w:p w14:paraId="15FBBC39">
      <w:pPr>
        <w:spacing w:line="480" w:lineRule="exact"/>
        <w:ind w:firstLine="360" w:firstLineChars="150"/>
        <w:rPr>
          <w:sz w:val="24"/>
        </w:rPr>
      </w:pPr>
      <w:r>
        <w:rPr>
          <w:rFonts w:hint="eastAsia"/>
          <w:sz w:val="24"/>
        </w:rPr>
        <w:t>三、期末考核说明：</w:t>
      </w:r>
    </w:p>
    <w:p w14:paraId="6B6AAFA1">
      <w:pPr>
        <w:spacing w:line="480" w:lineRule="exact"/>
        <w:ind w:firstLine="360" w:firstLineChars="150"/>
        <w:rPr>
          <w:sz w:val="24"/>
        </w:rPr>
      </w:pPr>
      <w:r>
        <w:rPr>
          <w:rFonts w:hint="eastAsia"/>
          <w:sz w:val="24"/>
        </w:rPr>
        <w:t>期末考核采用考查，考查内容为学生在本课程范围内，按照指定的论文格式撰写1份学术报告。评分标准包括论述的条理性、创新性、完整性和学术规范性。</w:t>
      </w:r>
    </w:p>
    <w:p w14:paraId="76CD48AF">
      <w:pPr>
        <w:spacing w:line="480" w:lineRule="exact"/>
        <w:rPr>
          <w:sz w:val="24"/>
        </w:rPr>
      </w:pPr>
    </w:p>
    <w:p w14:paraId="071F57EC">
      <w:pPr>
        <w:spacing w:line="480" w:lineRule="exact"/>
        <w:rPr>
          <w:sz w:val="24"/>
        </w:rPr>
      </w:pPr>
    </w:p>
    <w:p w14:paraId="7C5485C7">
      <w:pPr>
        <w:spacing w:line="480" w:lineRule="exact"/>
        <w:rPr>
          <w:sz w:val="24"/>
        </w:rPr>
      </w:pPr>
    </w:p>
    <w:p w14:paraId="0384B465">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7D46CE3"/>
    <w:rsid w:val="2BCB42DC"/>
    <w:rsid w:val="5409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qFormat/>
    <w:uiPriority w:val="0"/>
    <w:pPr>
      <w:ind w:firstLine="560" w:firstLineChars="200"/>
    </w:pPr>
    <w:rPr>
      <w:rFonts w:eastAsia="楷体_GB2312"/>
      <w:sz w:val="28"/>
      <w:lang w:val="zh-CN" w:eastAsia="zh-CN"/>
    </w:rPr>
  </w:style>
  <w:style w:type="paragraph" w:styleId="3">
    <w:name w:val="Date"/>
    <w:basedOn w:val="1"/>
    <w:next w:val="1"/>
    <w:qFormat/>
    <w:uiPriority w:val="0"/>
    <w:pPr>
      <w:ind w:left="100" w:leftChars="2500"/>
    </w:pPr>
    <w:rPr>
      <w:rFonts w:eastAsia="楷体_GB2312"/>
      <w:b/>
      <w:bCs/>
      <w:sz w:val="36"/>
    </w:rPr>
  </w:style>
  <w:style w:type="paragraph" w:styleId="4">
    <w:name w:val="Balloon Text"/>
    <w:basedOn w:val="1"/>
    <w:link w:val="12"/>
    <w:uiPriority w:val="0"/>
    <w:rPr>
      <w:sz w:val="18"/>
      <w:szCs w:val="18"/>
      <w:lang w:val="zh-CN" w:eastAsia="zh-CN"/>
    </w:rPr>
  </w:style>
  <w:style w:type="paragraph" w:styleId="5">
    <w:name w:val="footer"/>
    <w:basedOn w:val="1"/>
    <w:link w:val="11"/>
    <w:qFormat/>
    <w:uiPriority w:val="0"/>
    <w:pPr>
      <w:tabs>
        <w:tab w:val="center" w:pos="4153"/>
        <w:tab w:val="right" w:pos="8306"/>
      </w:tabs>
      <w:snapToGrid w:val="0"/>
      <w:jc w:val="left"/>
    </w:pPr>
    <w:rPr>
      <w:sz w:val="18"/>
      <w:szCs w:val="18"/>
      <w:lang w:val="zh-CN" w:eastAsia="zh-CN"/>
    </w:rPr>
  </w:style>
  <w:style w:type="paragraph" w:styleId="6">
    <w:name w:val="header"/>
    <w:basedOn w:val="1"/>
    <w:link w:val="10"/>
    <w:qFormat/>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qFormat/>
    <w:uiPriority w:val="0"/>
    <w:rPr>
      <w:kern w:val="2"/>
      <w:sz w:val="18"/>
      <w:szCs w:val="18"/>
    </w:rPr>
  </w:style>
  <w:style w:type="character" w:customStyle="1" w:styleId="11">
    <w:name w:val="页脚 Char"/>
    <w:link w:val="5"/>
    <w:qFormat/>
    <w:uiPriority w:val="0"/>
    <w:rPr>
      <w:kern w:val="2"/>
      <w:sz w:val="18"/>
      <w:szCs w:val="18"/>
    </w:rPr>
  </w:style>
  <w:style w:type="character" w:customStyle="1" w:styleId="12">
    <w:name w:val="批注框文本 Char"/>
    <w:link w:val="4"/>
    <w:qFormat/>
    <w:uiPriority w:val="0"/>
    <w:rPr>
      <w:kern w:val="2"/>
      <w:sz w:val="18"/>
      <w:szCs w:val="18"/>
    </w:rPr>
  </w:style>
  <w:style w:type="paragraph" w:customStyle="1" w:styleId="13">
    <w:name w:val="Revision"/>
    <w:unhideWhenUsed/>
    <w:qFormat/>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qFormat/>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9</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2026-04-12T06:23:54Z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4737A44425E04C899CB3296E75EB0A9B_13</vt:lpwstr>
  </property>
</Properties>
</file>