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E2021">
      <w:pPr>
        <w:spacing w:line="480" w:lineRule="exact"/>
        <w:rPr>
          <w:sz w:val="24"/>
        </w:rPr>
      </w:pPr>
      <w:bookmarkStart w:id="0" w:name="_GoBack"/>
      <w:bookmarkEnd w:id="0"/>
    </w:p>
    <w:p w14:paraId="389DF083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EB53DE8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5ECE22A">
      <w:pPr>
        <w:spacing w:line="1480" w:lineRule="exact"/>
        <w:jc w:val="center"/>
        <w:rPr>
          <w:sz w:val="52"/>
        </w:rPr>
      </w:pPr>
    </w:p>
    <w:p w14:paraId="7E28D0CE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49EC59B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3196E50E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新媒体</w:t>
      </w:r>
    </w:p>
    <w:p w14:paraId="40566269">
      <w:pPr>
        <w:spacing w:line="900" w:lineRule="exact"/>
        <w:ind w:firstLine="3600" w:firstLineChars="1200"/>
        <w:rPr>
          <w:sz w:val="30"/>
        </w:rPr>
      </w:pPr>
    </w:p>
    <w:p w14:paraId="5C9DFA3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E5417E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7AA8A2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CE9061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2590A4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AF9922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F7DA06B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9F66F7C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6D9B7B3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76EBF8E2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11B6B030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077A75AA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0B1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26AE98C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89539C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新媒体</w:t>
            </w:r>
          </w:p>
          <w:p w14:paraId="4E95906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New Media</w:t>
            </w:r>
          </w:p>
          <w:p w14:paraId="0066967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78C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CD56B3A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0CA889D4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5159CAD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E74C6E0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IM3137</w:t>
            </w:r>
          </w:p>
        </w:tc>
        <w:tc>
          <w:tcPr>
            <w:tcW w:w="1400" w:type="dxa"/>
            <w:vAlign w:val="center"/>
          </w:tcPr>
          <w:p w14:paraId="0A3370A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DBA2222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560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C2AC46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285D87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289542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9B6504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4DF16C3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5F16921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A5C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328CA0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6A1F66A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4E18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843482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066C7E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甘春梅</w:t>
            </w:r>
          </w:p>
        </w:tc>
      </w:tr>
      <w:tr w14:paraId="01DA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A69AC3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C388435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6E06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069F75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1BEB71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F75D9C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AC5674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BAC681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8C2FB3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教学目的：</w:t>
            </w:r>
          </w:p>
          <w:p w14:paraId="121185F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希望学生能够理解新媒体的发展历史、表现形式、传播机制、用户行为以及在不同组织中的应用，能够掌握新媒体研究相关的方法，提升综合运用多学科知识发现问题、分析问题并解决问题的创新性能力。</w:t>
            </w:r>
          </w:p>
          <w:p w14:paraId="599AB30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基本要求：</w:t>
            </w:r>
          </w:p>
          <w:p w14:paraId="0F176FD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牢固掌握新媒体的重要概念和理论。</w:t>
            </w:r>
          </w:p>
          <w:p w14:paraId="7BD510E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一般掌握新媒体研究相关的研究方法。</w:t>
            </w:r>
          </w:p>
          <w:p w14:paraId="219B6D6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一般掌握新媒体在不同领域内的应用。</w:t>
            </w:r>
          </w:p>
          <w:p w14:paraId="025ED34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一般了解新媒体的发展历史和相关研究前沿。</w:t>
            </w:r>
          </w:p>
        </w:tc>
      </w:tr>
    </w:tbl>
    <w:p w14:paraId="3D644BEB">
      <w:pPr>
        <w:spacing w:line="480" w:lineRule="exact"/>
        <w:ind w:firstLine="480" w:firstLineChars="200"/>
        <w:rPr>
          <w:sz w:val="24"/>
        </w:rPr>
      </w:pPr>
    </w:p>
    <w:p w14:paraId="79658C4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1BD9598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314"/>
        <w:gridCol w:w="1190"/>
        <w:gridCol w:w="1417"/>
        <w:gridCol w:w="1316"/>
        <w:gridCol w:w="692"/>
        <w:gridCol w:w="1190"/>
      </w:tblGrid>
      <w:tr w14:paraId="7BB42B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33FBCB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1E0FAC6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1237FF2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6ECA9C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4735DD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4D40D7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0F7D57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25C17F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899DE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新媒体导论</w:t>
            </w:r>
          </w:p>
        </w:tc>
        <w:tc>
          <w:tcPr>
            <w:tcW w:w="5096" w:type="dxa"/>
            <w:vAlign w:val="center"/>
          </w:tcPr>
          <w:p w14:paraId="0F21A1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新媒体的定义、发展历程与传统媒体区别</w:t>
            </w:r>
          </w:p>
          <w:p w14:paraId="163049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 课程框架学习</w:t>
            </w:r>
          </w:p>
        </w:tc>
        <w:tc>
          <w:tcPr>
            <w:tcW w:w="5096" w:type="dxa"/>
            <w:vAlign w:val="center"/>
          </w:tcPr>
          <w:p w14:paraId="17EA7B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EBF9A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批判性思维</w:t>
            </w:r>
          </w:p>
        </w:tc>
        <w:tc>
          <w:tcPr>
            <w:tcW w:w="5096" w:type="dxa"/>
            <w:vAlign w:val="center"/>
          </w:tcPr>
          <w:p w14:paraId="64C88B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重点：理解新媒体与传统媒体的本质差异</w:t>
            </w:r>
          </w:p>
          <w:p w14:paraId="5B675D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难点：辨析“新媒体”概念的动态性</w:t>
            </w:r>
          </w:p>
        </w:tc>
        <w:tc>
          <w:tcPr>
            <w:tcW w:w="1555" w:type="dxa"/>
            <w:vMerge w:val="restart"/>
            <w:vAlign w:val="center"/>
          </w:tcPr>
          <w:p w14:paraId="48F5FA9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7AC4A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FB65C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999A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理解新媒体</w:t>
            </w:r>
          </w:p>
        </w:tc>
        <w:tc>
          <w:tcPr>
            <w:tcW w:w="5096" w:type="dxa"/>
            <w:vAlign w:val="center"/>
          </w:tcPr>
          <w:p w14:paraId="44918E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-新媒体演进的动力，核心要素，不同偏向</w:t>
            </w:r>
          </w:p>
          <w:p w14:paraId="343135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-新媒体推动的互联网变革</w:t>
            </w:r>
          </w:p>
        </w:tc>
        <w:tc>
          <w:tcPr>
            <w:tcW w:w="5096" w:type="dxa"/>
            <w:vAlign w:val="center"/>
          </w:tcPr>
          <w:p w14:paraId="33BBC4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07BEE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科技向善；数字时代的技术伦理责任</w:t>
            </w:r>
          </w:p>
        </w:tc>
        <w:tc>
          <w:tcPr>
            <w:tcW w:w="5096" w:type="dxa"/>
            <w:vAlign w:val="center"/>
          </w:tcPr>
          <w:p w14:paraId="39303F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重点：分析新媒体的不同偏向</w:t>
            </w:r>
          </w:p>
          <w:p w14:paraId="7C0098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难点：理解三要素的博弈关系</w:t>
            </w:r>
          </w:p>
        </w:tc>
        <w:tc>
          <w:tcPr>
            <w:tcW w:w="1555" w:type="dxa"/>
            <w:vMerge w:val="restart"/>
            <w:vAlign w:val="center"/>
          </w:tcPr>
          <w:p w14:paraId="2EAB82E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C5F7B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7FD2C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4BE1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新媒体用户</w:t>
            </w:r>
          </w:p>
        </w:tc>
        <w:tc>
          <w:tcPr>
            <w:tcW w:w="5096" w:type="dxa"/>
            <w:vAlign w:val="center"/>
          </w:tcPr>
          <w:p w14:paraId="082DE5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-用户画像与行为模型</w:t>
            </w:r>
          </w:p>
          <w:p w14:paraId="2E3C92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-圈层化传播、粉丝经济、网络社群特征</w:t>
            </w:r>
          </w:p>
          <w:p w14:paraId="407A8D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-认知偏差：信息茧房、回声室效应、沉默螺旋</w:t>
            </w:r>
          </w:p>
        </w:tc>
        <w:tc>
          <w:tcPr>
            <w:tcW w:w="5096" w:type="dxa"/>
            <w:vAlign w:val="center"/>
          </w:tcPr>
          <w:p w14:paraId="250C43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5096" w:type="dxa"/>
            <w:vAlign w:val="center"/>
          </w:tcPr>
          <w:p w14:paraId="7B2B3B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共情能力；负责任的数据使用`````</w:t>
            </w:r>
          </w:p>
        </w:tc>
        <w:tc>
          <w:tcPr>
            <w:tcW w:w="5096" w:type="dxa"/>
            <w:vAlign w:val="center"/>
          </w:tcPr>
          <w:p w14:paraId="6F66D9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重点：理解“场景化需求”以及行为数据与心理动机的关联分析</w:t>
            </w:r>
          </w:p>
          <w:p w14:paraId="6E1C2F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难点：数据隐私与用户体验的平衡</w:t>
            </w:r>
          </w:p>
        </w:tc>
        <w:tc>
          <w:tcPr>
            <w:tcW w:w="1555" w:type="dxa"/>
            <w:vMerge w:val="restart"/>
            <w:vAlign w:val="center"/>
          </w:tcPr>
          <w:p w14:paraId="7E6D0E6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046F1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BA97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B8FC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 新媒体数据分析</w:t>
            </w:r>
          </w:p>
        </w:tc>
        <w:tc>
          <w:tcPr>
            <w:tcW w:w="5096" w:type="dxa"/>
            <w:vAlign w:val="center"/>
          </w:tcPr>
          <w:p w14:paraId="6FD546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-新媒体数据类型</w:t>
            </w:r>
          </w:p>
          <w:p w14:paraId="6F1C7C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-数据解读</w:t>
            </w:r>
          </w:p>
        </w:tc>
        <w:tc>
          <w:tcPr>
            <w:tcW w:w="5096" w:type="dxa"/>
            <w:vAlign w:val="center"/>
          </w:tcPr>
          <w:p w14:paraId="068B2C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22A67F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分析问题与解决问题的能力</w:t>
            </w:r>
          </w:p>
        </w:tc>
        <w:tc>
          <w:tcPr>
            <w:tcW w:w="5096" w:type="dxa"/>
            <w:vAlign w:val="center"/>
          </w:tcPr>
          <w:p w14:paraId="68FEF1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重点：理解数据之间的关系</w:t>
            </w:r>
          </w:p>
          <w:p w14:paraId="0421B9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难点：从数据到决策的转化</w:t>
            </w:r>
          </w:p>
        </w:tc>
        <w:tc>
          <w:tcPr>
            <w:tcW w:w="1555" w:type="dxa"/>
            <w:vMerge w:val="restart"/>
            <w:vAlign w:val="center"/>
          </w:tcPr>
          <w:p w14:paraId="7667625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493B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0DBA4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5DC9A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 新媒体在组织中的应用</w:t>
            </w:r>
          </w:p>
        </w:tc>
        <w:tc>
          <w:tcPr>
            <w:tcW w:w="5096" w:type="dxa"/>
            <w:vAlign w:val="center"/>
          </w:tcPr>
          <w:p w14:paraId="6BD46C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-组织新媒体应用场景</w:t>
            </w:r>
          </w:p>
          <w:p w14:paraId="23E026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-核心应用模式</w:t>
            </w:r>
          </w:p>
          <w:p w14:paraId="7E9BF2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-典型案例分析</w:t>
            </w:r>
          </w:p>
        </w:tc>
        <w:tc>
          <w:tcPr>
            <w:tcW w:w="5096" w:type="dxa"/>
            <w:vAlign w:val="center"/>
          </w:tcPr>
          <w:p w14:paraId="137BAF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C291E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数字职场伦理；文化自信；责任担当；新媒体应用的国家战略</w:t>
            </w:r>
          </w:p>
        </w:tc>
        <w:tc>
          <w:tcPr>
            <w:tcW w:w="5096" w:type="dxa"/>
            <w:vAlign w:val="center"/>
          </w:tcPr>
          <w:p w14:paraId="00B60D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重点：有效利用新媒体</w:t>
            </w:r>
          </w:p>
          <w:p w14:paraId="198F47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难点：如何兼顾效率提升与信息安全</w:t>
            </w:r>
          </w:p>
        </w:tc>
        <w:tc>
          <w:tcPr>
            <w:tcW w:w="1555" w:type="dxa"/>
            <w:vMerge w:val="restart"/>
            <w:vAlign w:val="center"/>
          </w:tcPr>
          <w:p w14:paraId="12434EA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B8549A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AEDC2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F8B1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 新媒体研究前沿</w:t>
            </w:r>
          </w:p>
        </w:tc>
        <w:tc>
          <w:tcPr>
            <w:tcW w:w="5096" w:type="dxa"/>
            <w:vAlign w:val="center"/>
          </w:tcPr>
          <w:p w14:paraId="568404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-前沿趋势</w:t>
            </w:r>
          </w:p>
          <w:p w14:paraId="23A437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-行业岗位能力需求分析</w:t>
            </w:r>
          </w:p>
          <w:p w14:paraId="772D15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-职业伦理</w:t>
            </w:r>
          </w:p>
        </w:tc>
        <w:tc>
          <w:tcPr>
            <w:tcW w:w="5096" w:type="dxa"/>
            <w:vAlign w:val="center"/>
          </w:tcPr>
          <w:p w14:paraId="44F037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A4B6E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终身学习能力培养；职业操守与抗压能力`````</w:t>
            </w:r>
          </w:p>
        </w:tc>
        <w:tc>
          <w:tcPr>
            <w:tcW w:w="5096" w:type="dxa"/>
            <w:vAlign w:val="center"/>
          </w:tcPr>
          <w:p w14:paraId="247985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重点：搭建从理论到实践的认知桥梁</w:t>
            </w:r>
          </w:p>
          <w:p w14:paraId="1BFA62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难点：如何开展严谨的新媒体相关研究</w:t>
            </w:r>
          </w:p>
        </w:tc>
        <w:tc>
          <w:tcPr>
            <w:tcW w:w="1555" w:type="dxa"/>
            <w:vMerge w:val="restart"/>
            <w:vAlign w:val="center"/>
          </w:tcPr>
          <w:p w14:paraId="13D140C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43CA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ABB9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26844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18A152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-课程复习</w:t>
            </w:r>
          </w:p>
          <w:p w14:paraId="04850C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-答疑与交流</w:t>
            </w:r>
          </w:p>
        </w:tc>
        <w:tc>
          <w:tcPr>
            <w:tcW w:w="5096" w:type="dxa"/>
            <w:vAlign w:val="center"/>
          </w:tcPr>
          <w:p w14:paraId="1F1650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0D0D3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C97EC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2560EC6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EB19BD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2165FA0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1D6E3C5D">
      <w:pPr>
        <w:spacing w:line="480" w:lineRule="exact"/>
        <w:rPr>
          <w:sz w:val="24"/>
        </w:rPr>
      </w:pPr>
    </w:p>
    <w:p w14:paraId="3DCC5C49">
      <w:pPr>
        <w:spacing w:line="480" w:lineRule="exact"/>
        <w:rPr>
          <w:rFonts w:hint="eastAsia"/>
          <w:sz w:val="24"/>
        </w:rPr>
      </w:pPr>
    </w:p>
    <w:p w14:paraId="1AF037E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E52AC8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EA71DD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结合相关的理论知识，本课程拟安排3-5次专题研讨。在此基础上，拟安排1次个人实践和1次企业参访。此外，每节课均基于核心内容设置随堂讨论或案例分析。</w:t>
      </w:r>
    </w:p>
    <w:p w14:paraId="3AE663C1">
      <w:pPr>
        <w:spacing w:line="480" w:lineRule="exact"/>
        <w:rPr>
          <w:sz w:val="24"/>
        </w:rPr>
      </w:pPr>
    </w:p>
    <w:p w14:paraId="29CF5F2F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2F1870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38E2FEE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本课程拟采用多样化的教学方法：课程讲授+专题研讨+课堂讨论+案例分析+企业实践。</w:t>
      </w:r>
    </w:p>
    <w:p w14:paraId="4F0C6FBE">
      <w:pPr>
        <w:spacing w:line="480" w:lineRule="exact"/>
        <w:ind w:firstLine="360" w:firstLineChars="150"/>
        <w:rPr>
          <w:sz w:val="24"/>
        </w:rPr>
      </w:pPr>
    </w:p>
    <w:p w14:paraId="2736886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49A6424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7C8B686E">
      <w:pPr>
        <w:spacing w:line="480" w:lineRule="exact"/>
        <w:ind w:firstLine="360" w:firstLineChars="150"/>
        <w:rPr>
          <w:sz w:val="24"/>
        </w:rPr>
      </w:pPr>
    </w:p>
    <w:p w14:paraId="1A80882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646D038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6FE9FFB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彭兰. 社会化媒体：理论与实践解析[M]. 北京: 中国人民大学出版社, 2015.</w:t>
      </w:r>
    </w:p>
    <w:p w14:paraId="799918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彭兰. 网络传播概论（第四版）[M]. 北京: 中国人民大学出版社, 2017.</w:t>
      </w:r>
    </w:p>
    <w:p w14:paraId="3460E22F">
      <w:pPr>
        <w:spacing w:line="480" w:lineRule="exact"/>
        <w:ind w:firstLine="360" w:firstLineChars="150"/>
        <w:rPr>
          <w:sz w:val="24"/>
        </w:rPr>
      </w:pPr>
    </w:p>
    <w:p w14:paraId="4D2B7E9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EE1B3E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3A3104F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5721951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AB844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一、总成绩构成：平时考核占比60%，期末考核占比40%。</w:t>
      </w:r>
    </w:p>
    <w:p w14:paraId="052953A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1D017B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出勤情况（占平时成绩5%）。考勤次数不少于3次，无故旷课、迟到、早退等情况扣除当次考勤分数。请假须按照学校规定执行，须提前请假，不得由他人代请假；因特殊情况未提前请假的，须事后1周内补齐请假手续，否则按旷课处理。</w:t>
      </w:r>
    </w:p>
    <w:p w14:paraId="3B2FE35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（2）平时作业（占平时成绩55%）。安排不少于3次平时作业。主要考察学生对讲授内容的理解和运用能力。未交、缓交作业的，当次不给分。因请假造成缓交作业的，须于销假时补交作业，否则按未交作业处理。</w:t>
      </w:r>
    </w:p>
    <w:p w14:paraId="516F43E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14AC708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期末考核采用考查，考查内容为在本课程范围内，围绕一个主题，利用课堂所学的理论与方法，按照指定的格式撰写1份课程论文或调研报告。评分标准包括选题、研究内容、结构逻辑和学术规范。</w:t>
      </w:r>
    </w:p>
    <w:p w14:paraId="3DEEC85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（1）选题：满分10分，分A、 B、 C、 D 四个档次。 A档8-10分，选题具有意义； B档5-7分，选题具有一定的意义； C档3-4 分，选题意义有限；D档0-2分，选题缺乏意义。</w:t>
      </w:r>
    </w:p>
    <w:p w14:paraId="2BF20F2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（2）研究内容：满分60分，分A、 B、 C、 D 四个档次。A档48-60分，研究内容深入，体现独立思考； B档30-47分，研究内容基本完整，部分体现独立思考； C档18-29分，研究内容存在缺陷，独立思考体现不足；D档0-17分，研究内容不符合要求，存在拼凑等问题。</w:t>
      </w:r>
    </w:p>
    <w:p w14:paraId="274A24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（3）结构逻辑：满分20分，分A、 B、 C、 D 四个档次。A档16-20分，结构清晰、 语言流畅； B档11-15分，结构比较清晰、 语言较流畅；C档6-10分，结构不分明、 语言基本流畅； D档0-5分，结构混乱、语言冗余。</w:t>
      </w:r>
    </w:p>
    <w:p w14:paraId="7B0BE87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（4）学术规范：满分10分，分A、 B、 C、 D 四个档次。A档8-10分，引用标注准确，格式规范； B档5-7分，引用标注较准确，格式基本规范； C档3-4 分，引用标注基本准确，格式不规范；D档0-2分，引用标注存在错误，格式混乱。</w:t>
      </w:r>
    </w:p>
    <w:p w14:paraId="7144A131">
      <w:pPr>
        <w:spacing w:line="480" w:lineRule="exact"/>
        <w:ind w:firstLine="360" w:firstLineChars="150"/>
        <w:rPr>
          <w:sz w:val="24"/>
        </w:rPr>
      </w:pPr>
    </w:p>
    <w:p w14:paraId="69C4F862">
      <w:pPr>
        <w:spacing w:line="480" w:lineRule="exact"/>
        <w:rPr>
          <w:sz w:val="24"/>
        </w:rPr>
      </w:pPr>
    </w:p>
    <w:p w14:paraId="12F5AFB5">
      <w:pPr>
        <w:spacing w:line="480" w:lineRule="exact"/>
        <w:rPr>
          <w:sz w:val="24"/>
        </w:rPr>
      </w:pPr>
    </w:p>
    <w:p w14:paraId="51C4E8AA">
      <w:pPr>
        <w:spacing w:line="480" w:lineRule="exact"/>
        <w:rPr>
          <w:sz w:val="24"/>
        </w:rPr>
      </w:pPr>
    </w:p>
    <w:p w14:paraId="67185064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29F06F9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6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2026-04-12T06:24:03Z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CD17F860011448A0A26D1AF438BACF43_13</vt:lpwstr>
  </property>
</Properties>
</file>