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F0A25D">
      <w:pPr>
        <w:spacing w:line="480" w:lineRule="exact"/>
        <w:rPr>
          <w:sz w:val="24"/>
        </w:rPr>
      </w:pPr>
      <w:bookmarkStart w:id="0" w:name="_GoBack"/>
      <w:bookmarkEnd w:id="0"/>
    </w:p>
    <w:p w14:paraId="3F18CE5A">
      <w:pPr>
        <w:spacing w:line="1480" w:lineRule="exact"/>
        <w:jc w:val="center"/>
        <w:rPr>
          <w:rFonts w:eastAsia="楷体_GB2312"/>
          <w:b/>
          <w:bCs/>
          <w:spacing w:val="40"/>
          <w:sz w:val="72"/>
        </w:rPr>
      </w:pPr>
      <w:r>
        <w:rPr>
          <w:rFonts w:eastAsia="楷体_GB2312"/>
          <w:b/>
          <w:bCs/>
          <w:spacing w:val="40"/>
          <w:sz w:val="72"/>
        </w:rPr>
        <w:t>中山大学</w:t>
      </w:r>
    </w:p>
    <w:p w14:paraId="20EB1114">
      <w:pPr>
        <w:spacing w:before="312" w:beforeLines="100" w:line="640" w:lineRule="exact"/>
        <w:jc w:val="center"/>
        <w:rPr>
          <w:rFonts w:eastAsia="黑体"/>
          <w:sz w:val="56"/>
        </w:rPr>
      </w:pPr>
      <w:r>
        <w:rPr>
          <w:rFonts w:eastAsia="黑体"/>
          <w:sz w:val="56"/>
        </w:rPr>
        <w:t>本科</w:t>
      </w:r>
      <w:r>
        <w:rPr>
          <w:rFonts w:hint="eastAsia" w:eastAsia="黑体"/>
          <w:sz w:val="56"/>
        </w:rPr>
        <w:t>课程</w:t>
      </w:r>
      <w:r>
        <w:rPr>
          <w:rFonts w:eastAsia="黑体"/>
          <w:sz w:val="56"/>
        </w:rPr>
        <w:t>教学大纲</w:t>
      </w:r>
    </w:p>
    <w:p w14:paraId="38977AD0">
      <w:pPr>
        <w:spacing w:line="1480" w:lineRule="exact"/>
        <w:jc w:val="center"/>
        <w:rPr>
          <w:sz w:val="52"/>
        </w:rPr>
      </w:pPr>
    </w:p>
    <w:p w14:paraId="0212D1E6">
      <w:pPr>
        <w:spacing w:line="480" w:lineRule="exact"/>
        <w:ind w:firstLine="2127" w:firstLineChars="709"/>
        <w:rPr>
          <w:rFonts w:eastAsia="黑体"/>
          <w:sz w:val="30"/>
          <w:u w:val="single"/>
        </w:rPr>
      </w:pPr>
      <w:r>
        <w:rPr>
          <w:rFonts w:eastAsia="黑体"/>
          <w:sz w:val="30"/>
        </w:rPr>
        <w:t>学院（系）</w:t>
      </w:r>
      <w:r>
        <w:rPr>
          <w:rFonts w:hint="eastAsia" w:eastAsia="黑体"/>
          <w:sz w:val="30"/>
          <w:u w:val="single"/>
        </w:rPr>
        <w:t>信息管理学院</w:t>
      </w:r>
    </w:p>
    <w:p w14:paraId="57C2E1C9">
      <w:pPr>
        <w:spacing w:line="480" w:lineRule="exact"/>
        <w:ind w:firstLine="2127" w:firstLineChars="709"/>
        <w:rPr>
          <w:rFonts w:eastAsia="黑体"/>
          <w:sz w:val="30"/>
          <w:u w:val="single"/>
        </w:rPr>
      </w:pPr>
    </w:p>
    <w:p w14:paraId="4DA55E44">
      <w:pPr>
        <w:spacing w:line="480" w:lineRule="exact"/>
        <w:ind w:firstLine="2127" w:firstLineChars="709"/>
        <w:rPr>
          <w:sz w:val="30"/>
          <w:u w:val="single"/>
        </w:rPr>
      </w:pPr>
      <w:r>
        <w:rPr>
          <w:rFonts w:eastAsia="黑体"/>
          <w:sz w:val="30"/>
        </w:rPr>
        <w:t>课程名称</w:t>
      </w:r>
      <w:r>
        <w:rPr>
          <w:rFonts w:eastAsia="黑体"/>
          <w:sz w:val="30"/>
          <w:u w:val="single"/>
        </w:rPr>
        <w:t xml:space="preserve"> 企业竞争情报</w:t>
      </w:r>
    </w:p>
    <w:p w14:paraId="5C23120C">
      <w:pPr>
        <w:spacing w:line="900" w:lineRule="exact"/>
        <w:ind w:firstLine="3600" w:firstLineChars="1200"/>
        <w:rPr>
          <w:sz w:val="30"/>
        </w:rPr>
      </w:pPr>
    </w:p>
    <w:p w14:paraId="099B6816">
      <w:pPr>
        <w:spacing w:line="900" w:lineRule="exact"/>
        <w:jc w:val="center"/>
        <w:rPr>
          <w:rFonts w:eastAsia="仿宋_GB2312"/>
          <w:b/>
          <w:bCs/>
          <w:kern w:val="28"/>
          <w:sz w:val="32"/>
          <w:szCs w:val="32"/>
        </w:rPr>
      </w:pPr>
    </w:p>
    <w:p w14:paraId="32DA73E7">
      <w:pPr>
        <w:spacing w:line="900" w:lineRule="exact"/>
        <w:jc w:val="center"/>
        <w:rPr>
          <w:rFonts w:eastAsia="仿宋_GB2312"/>
          <w:b/>
          <w:bCs/>
          <w:kern w:val="28"/>
          <w:sz w:val="32"/>
          <w:szCs w:val="32"/>
        </w:rPr>
      </w:pPr>
    </w:p>
    <w:p w14:paraId="06C21993">
      <w:pPr>
        <w:spacing w:line="900" w:lineRule="exact"/>
        <w:jc w:val="center"/>
        <w:rPr>
          <w:rFonts w:eastAsia="仿宋_GB2312"/>
          <w:b/>
          <w:bCs/>
          <w:kern w:val="28"/>
          <w:sz w:val="32"/>
          <w:szCs w:val="32"/>
        </w:rPr>
      </w:pPr>
    </w:p>
    <w:p w14:paraId="5698E7BD">
      <w:pPr>
        <w:spacing w:line="900" w:lineRule="exact"/>
        <w:jc w:val="center"/>
        <w:rPr>
          <w:rFonts w:eastAsia="仿宋_GB2312"/>
          <w:b/>
          <w:bCs/>
          <w:kern w:val="28"/>
          <w:sz w:val="32"/>
          <w:szCs w:val="32"/>
        </w:rPr>
      </w:pPr>
    </w:p>
    <w:p w14:paraId="69CC1BFD">
      <w:pPr>
        <w:spacing w:line="900" w:lineRule="exact"/>
        <w:jc w:val="center"/>
        <w:rPr>
          <w:rFonts w:ascii="仿宋_GB2312" w:hAnsi="仿宋_GB2312" w:eastAsia="仿宋_GB2312" w:cs="仿宋_GB2312"/>
          <w:b/>
          <w:bCs/>
          <w:kern w:val="28"/>
          <w:sz w:val="32"/>
          <w:szCs w:val="32"/>
        </w:rPr>
      </w:pPr>
      <w:r>
        <w:rPr>
          <w:rFonts w:eastAsia="仿宋_GB2312"/>
          <w:b/>
          <w:bCs/>
          <w:kern w:val="28"/>
          <w:sz w:val="32"/>
          <w:szCs w:val="32"/>
        </w:rPr>
        <w:t>二〇二五</w:t>
      </w:r>
    </w:p>
    <w:p w14:paraId="4310B654">
      <w:pPr>
        <w:spacing w:line="900" w:lineRule="exact"/>
        <w:jc w:val="center"/>
        <w:rPr>
          <w:rFonts w:ascii="仿宋_GB2312" w:hAnsi="仿宋_GB2312" w:eastAsia="仿宋_GB2312" w:cs="仿宋_GB2312"/>
          <w:b/>
          <w:bCs/>
          <w:kern w:val="28"/>
          <w:sz w:val="32"/>
          <w:szCs w:val="32"/>
        </w:rPr>
      </w:pPr>
    </w:p>
    <w:p w14:paraId="1718854D">
      <w:pPr>
        <w:spacing w:line="900" w:lineRule="exact"/>
        <w:jc w:val="center"/>
        <w:rPr>
          <w:rFonts w:hint="eastAsia" w:ascii="仿宋_GB2312" w:hAnsi="仿宋_GB2312" w:eastAsia="仿宋_GB2312" w:cs="仿宋_GB2312"/>
          <w:b/>
          <w:bCs/>
          <w:kern w:val="28"/>
          <w:sz w:val="32"/>
          <w:szCs w:val="32"/>
        </w:rPr>
      </w:pPr>
    </w:p>
    <w:p w14:paraId="7F8B895E">
      <w:pPr>
        <w:spacing w:line="900" w:lineRule="exact"/>
        <w:jc w:val="center"/>
        <w:rPr>
          <w:rFonts w:hint="eastAsia" w:eastAsia="仿宋_GB2312"/>
          <w:b/>
          <w:bCs/>
          <w:kern w:val="28"/>
          <w:sz w:val="32"/>
          <w:szCs w:val="32"/>
        </w:rPr>
      </w:pPr>
    </w:p>
    <w:p w14:paraId="4969C697">
      <w:pPr>
        <w:pStyle w:val="7"/>
        <w:spacing w:line="480" w:lineRule="exact"/>
        <w:rPr>
          <w:rFonts w:hint="eastAsia" w:ascii="Times New Roman" w:hAnsi="Times New Roman" w:eastAsia="黑体" w:cs="Times New Roman"/>
        </w:rPr>
      </w:pPr>
      <w:r>
        <w:rPr>
          <w:rFonts w:hint="eastAsia" w:ascii="宋体" w:hAnsi="宋体" w:cs="宋体"/>
          <w:bCs w:val="0"/>
        </w:rPr>
        <w:t>课程</w:t>
      </w:r>
      <w:r>
        <w:rPr>
          <w:rFonts w:ascii="Times New Roman" w:hAnsi="Times New Roman" w:eastAsia="黑体" w:cs="Times New Roman"/>
        </w:rPr>
        <w:t>教学大纲</w:t>
      </w:r>
    </w:p>
    <w:p w14:paraId="6D90589E">
      <w:pPr>
        <w:pStyle w:val="2"/>
        <w:spacing w:line="480" w:lineRule="exact"/>
        <w:ind w:firstLine="0" w:firstLineChars="0"/>
        <w:jc w:val="center"/>
        <w:rPr>
          <w:rFonts w:eastAsia="宋体"/>
          <w:sz w:val="24"/>
        </w:rPr>
      </w:pPr>
      <w:r>
        <w:rPr>
          <w:rFonts w:eastAsia="宋体"/>
          <w:sz w:val="24"/>
        </w:rPr>
        <w:t>（编写日期：2025年06月）</w:t>
      </w:r>
    </w:p>
    <w:p w14:paraId="162D0EC3">
      <w:pPr>
        <w:pStyle w:val="2"/>
        <w:spacing w:line="480" w:lineRule="exact"/>
        <w:ind w:firstLine="0" w:firstLineChars="0"/>
        <w:jc w:val="center"/>
        <w:rPr>
          <w:rFonts w:eastAsia="宋体"/>
          <w:sz w:val="24"/>
        </w:rPr>
      </w:pPr>
    </w:p>
    <w:p w14:paraId="4BBA2B87">
      <w:pPr>
        <w:pStyle w:val="2"/>
        <w:spacing w:line="480" w:lineRule="exact"/>
        <w:ind w:firstLine="480"/>
        <w:rPr>
          <w:rFonts w:eastAsia="宋体"/>
          <w:sz w:val="21"/>
        </w:rPr>
      </w:pPr>
      <w:r>
        <w:rPr>
          <w:rFonts w:eastAsia="宋体"/>
          <w:sz w:val="24"/>
        </w:rPr>
        <w:t>一、课程基本信息</w:t>
      </w:r>
    </w:p>
    <w:tbl>
      <w:tblPr>
        <w:tblStyle w:val="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3"/>
        <w:gridCol w:w="1379"/>
        <w:gridCol w:w="1598"/>
        <w:gridCol w:w="1435"/>
        <w:gridCol w:w="1400"/>
        <w:gridCol w:w="1345"/>
      </w:tblGrid>
      <w:tr w14:paraId="71EED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0" w:hRule="atLeast"/>
        </w:trPr>
        <w:tc>
          <w:tcPr>
            <w:tcW w:w="9000" w:type="dxa"/>
            <w:gridSpan w:val="6"/>
            <w:vAlign w:val="center"/>
          </w:tcPr>
          <w:p w14:paraId="31EF3595">
            <w:pPr>
              <w:pStyle w:val="2"/>
              <w:spacing w:line="480" w:lineRule="exact"/>
              <w:ind w:firstLine="0" w:firstLineChars="0"/>
              <w:jc w:val="center"/>
              <w:rPr>
                <w:rFonts w:eastAsia="宋体"/>
                <w:sz w:val="24"/>
              </w:rPr>
            </w:pPr>
          </w:p>
          <w:p w14:paraId="3E630DAB">
            <w:pPr>
              <w:pStyle w:val="2"/>
              <w:adjustRightInd w:val="0"/>
              <w:snapToGrid w:val="0"/>
              <w:ind w:firstLine="0" w:firstLineChars="0"/>
              <w:jc w:val="center"/>
              <w:rPr>
                <w:rFonts w:eastAsia="宋体"/>
                <w:sz w:val="24"/>
                <w:lang w:val="en-US" w:eastAsia="zh-CN"/>
              </w:rPr>
            </w:pPr>
            <w:r>
              <w:rPr>
                <w:rFonts w:eastAsia="宋体"/>
                <w:sz w:val="24"/>
                <w:lang w:val="en-US" w:eastAsia="zh-CN"/>
              </w:rPr>
              <w:t>企业竞争情报</w:t>
            </w:r>
          </w:p>
          <w:p w14:paraId="46BCD8AA">
            <w:pPr>
              <w:pStyle w:val="2"/>
              <w:adjustRightInd w:val="0"/>
              <w:snapToGrid w:val="0"/>
              <w:ind w:firstLine="0" w:firstLineChars="0"/>
              <w:jc w:val="center"/>
              <w:rPr>
                <w:rFonts w:eastAsia="宋体"/>
                <w:sz w:val="24"/>
                <w:lang w:val="en-US" w:eastAsia="zh-CN"/>
              </w:rPr>
            </w:pPr>
            <w:r>
              <w:rPr>
                <w:rFonts w:eastAsia="宋体"/>
                <w:sz w:val="24"/>
                <w:lang w:val="en-US" w:eastAsia="zh-CN"/>
              </w:rPr>
              <w:t>Enterprise Competitive Intelligence</w:t>
            </w:r>
          </w:p>
          <w:p w14:paraId="0E8DA9C0">
            <w:pPr>
              <w:pStyle w:val="2"/>
              <w:spacing w:line="480" w:lineRule="exact"/>
              <w:ind w:firstLine="0" w:firstLineChars="0"/>
              <w:jc w:val="center"/>
              <w:rPr>
                <w:rFonts w:eastAsia="宋体"/>
                <w:sz w:val="24"/>
              </w:rPr>
            </w:pPr>
          </w:p>
        </w:tc>
      </w:tr>
      <w:tr w14:paraId="64B7C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3" w:hRule="atLeast"/>
        </w:trPr>
        <w:tc>
          <w:tcPr>
            <w:tcW w:w="1843" w:type="dxa"/>
            <w:vAlign w:val="center"/>
          </w:tcPr>
          <w:p w14:paraId="5CD5FAEF">
            <w:pPr>
              <w:pStyle w:val="2"/>
              <w:adjustRightInd w:val="0"/>
              <w:snapToGrid w:val="0"/>
              <w:ind w:firstLine="0" w:firstLineChars="0"/>
              <w:jc w:val="center"/>
            </w:pPr>
            <w:r>
              <w:rPr>
                <w:rFonts w:eastAsia="宋体"/>
                <w:sz w:val="24"/>
                <w:lang w:val="en-US" w:eastAsia="zh-CN"/>
              </w:rPr>
              <w:t>课程</w:t>
            </w:r>
            <w:r>
              <w:rPr>
                <w:rFonts w:hint="eastAsia" w:eastAsia="宋体"/>
                <w:sz w:val="24"/>
                <w:lang w:val="en-US" w:eastAsia="zh-CN"/>
              </w:rPr>
              <w:t>类别</w:t>
            </w:r>
          </w:p>
        </w:tc>
        <w:tc>
          <w:tcPr>
            <w:tcW w:w="1379" w:type="dxa"/>
            <w:vAlign w:val="center"/>
          </w:tcPr>
          <w:p w14:paraId="74559634">
            <w:pPr>
              <w:jc w:val="center"/>
              <w:rPr>
                <w:sz w:val="24"/>
              </w:rPr>
            </w:pPr>
            <w:r>
              <w:rPr>
                <w:rFonts w:hint="eastAsia" w:eastAsia="宋体"/>
                <w:sz w:val="24"/>
                <w:lang w:val="en-US" w:eastAsia="zh-CN"/>
              </w:rPr>
              <w:t>专选</w:t>
            </w:r>
          </w:p>
        </w:tc>
        <w:tc>
          <w:tcPr>
            <w:tcW w:w="1598" w:type="dxa"/>
            <w:vAlign w:val="center"/>
          </w:tcPr>
          <w:p w14:paraId="125A522A">
            <w:pPr>
              <w:rPr>
                <w:sz w:val="24"/>
              </w:rPr>
            </w:pPr>
            <w:r>
              <w:rPr>
                <w:sz w:val="24"/>
              </w:rPr>
              <w:t>课程编码</w:t>
            </w:r>
          </w:p>
        </w:tc>
        <w:tc>
          <w:tcPr>
            <w:tcW w:w="1435" w:type="dxa"/>
            <w:vAlign w:val="center"/>
          </w:tcPr>
          <w:p w14:paraId="05F5CDC8">
            <w:pPr>
              <w:jc w:val="center"/>
              <w:rPr>
                <w:sz w:val="24"/>
              </w:rPr>
            </w:pPr>
            <w:r>
              <w:rPr>
                <w:sz w:val="24"/>
              </w:rPr>
              <w:t>IM386</w:t>
            </w:r>
          </w:p>
        </w:tc>
        <w:tc>
          <w:tcPr>
            <w:tcW w:w="1400" w:type="dxa"/>
            <w:vAlign w:val="center"/>
          </w:tcPr>
          <w:p w14:paraId="1C407280">
            <w:pPr>
              <w:pStyle w:val="2"/>
              <w:adjustRightInd w:val="0"/>
              <w:snapToGrid w:val="0"/>
              <w:ind w:firstLine="0" w:firstLineChars="0"/>
              <w:jc w:val="center"/>
              <w:rPr>
                <w:sz w:val="24"/>
                <w:lang w:val="en-US" w:eastAsia="zh-CN"/>
              </w:rPr>
            </w:pPr>
            <w:r>
              <w:rPr>
                <w:rFonts w:eastAsia="宋体"/>
                <w:sz w:val="24"/>
                <w:lang w:val="en-US" w:eastAsia="zh-CN"/>
              </w:rPr>
              <w:t>开课单位</w:t>
            </w:r>
          </w:p>
        </w:tc>
        <w:tc>
          <w:tcPr>
            <w:tcW w:w="1345" w:type="dxa"/>
            <w:vAlign w:val="center"/>
          </w:tcPr>
          <w:p w14:paraId="138A81D4">
            <w:pPr>
              <w:jc w:val="center"/>
              <w:rPr>
                <w:sz w:val="24"/>
              </w:rPr>
            </w:pPr>
            <w:r>
              <w:rPr>
                <w:rFonts w:eastAsia="宋体"/>
                <w:sz w:val="24"/>
                <w:lang w:val="en-US" w:eastAsia="zh-CN"/>
              </w:rPr>
              <w:t>信息管理学院</w:t>
            </w:r>
          </w:p>
        </w:tc>
      </w:tr>
      <w:tr w14:paraId="40BF2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1B423DB0">
            <w:pPr>
              <w:jc w:val="center"/>
              <w:rPr>
                <w:sz w:val="24"/>
              </w:rPr>
            </w:pPr>
            <w:r>
              <w:rPr>
                <w:sz w:val="24"/>
              </w:rPr>
              <w:t>学分</w:t>
            </w:r>
          </w:p>
        </w:tc>
        <w:tc>
          <w:tcPr>
            <w:tcW w:w="1379" w:type="dxa"/>
            <w:vAlign w:val="center"/>
          </w:tcPr>
          <w:p w14:paraId="1FC64A78">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2</w:t>
            </w:r>
          </w:p>
        </w:tc>
        <w:tc>
          <w:tcPr>
            <w:tcW w:w="1598" w:type="dxa"/>
            <w:vAlign w:val="center"/>
          </w:tcPr>
          <w:p w14:paraId="31B2078B">
            <w:pPr>
              <w:pStyle w:val="2"/>
              <w:adjustRightInd w:val="0"/>
              <w:snapToGrid w:val="0"/>
              <w:ind w:firstLine="0" w:firstLineChars="0"/>
              <w:jc w:val="center"/>
              <w:rPr>
                <w:rFonts w:eastAsia="宋体"/>
                <w:sz w:val="24"/>
                <w:lang w:val="en-US" w:eastAsia="zh-CN"/>
              </w:rPr>
            </w:pPr>
            <w:r>
              <w:rPr>
                <w:rFonts w:eastAsia="宋体"/>
                <w:sz w:val="24"/>
                <w:lang w:val="en-US" w:eastAsia="zh-CN"/>
              </w:rPr>
              <w:t>学时</w:t>
            </w:r>
          </w:p>
        </w:tc>
        <w:tc>
          <w:tcPr>
            <w:tcW w:w="1435" w:type="dxa"/>
            <w:vAlign w:val="center"/>
          </w:tcPr>
          <w:p w14:paraId="4DA46A14">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36</w:t>
            </w:r>
          </w:p>
        </w:tc>
        <w:tc>
          <w:tcPr>
            <w:tcW w:w="1400" w:type="dxa"/>
            <w:vAlign w:val="center"/>
          </w:tcPr>
          <w:p w14:paraId="634631DA">
            <w:pPr>
              <w:pStyle w:val="2"/>
              <w:adjustRightInd w:val="0"/>
              <w:snapToGrid w:val="0"/>
              <w:ind w:firstLine="0" w:firstLineChars="0"/>
              <w:jc w:val="center"/>
              <w:rPr>
                <w:rFonts w:eastAsia="宋体"/>
                <w:sz w:val="24"/>
                <w:lang w:val="en-US" w:eastAsia="zh-CN"/>
              </w:rPr>
            </w:pPr>
            <w:r>
              <w:rPr>
                <w:rFonts w:eastAsia="宋体"/>
                <w:sz w:val="24"/>
                <w:lang w:val="en-US" w:eastAsia="zh-CN"/>
              </w:rPr>
              <w:t>授课年级</w:t>
            </w:r>
          </w:p>
        </w:tc>
        <w:tc>
          <w:tcPr>
            <w:tcW w:w="1345" w:type="dxa"/>
            <w:vAlign w:val="center"/>
          </w:tcPr>
          <w:p w14:paraId="66DC7EF7">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大三</w:t>
            </w:r>
          </w:p>
        </w:tc>
      </w:tr>
      <w:tr w14:paraId="69968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trPr>
        <w:tc>
          <w:tcPr>
            <w:tcW w:w="1843" w:type="dxa"/>
            <w:vAlign w:val="center"/>
          </w:tcPr>
          <w:p w14:paraId="20C021BC">
            <w:pPr>
              <w:pStyle w:val="2"/>
              <w:adjustRightInd w:val="0"/>
              <w:snapToGrid w:val="0"/>
              <w:ind w:firstLine="0" w:firstLineChars="0"/>
              <w:jc w:val="center"/>
              <w:rPr>
                <w:rFonts w:eastAsia="宋体"/>
                <w:sz w:val="24"/>
                <w:lang w:val="en-US" w:eastAsia="zh-CN"/>
              </w:rPr>
            </w:pPr>
            <w:r>
              <w:rPr>
                <w:rFonts w:eastAsia="宋体"/>
                <w:sz w:val="24"/>
                <w:lang w:val="en-US" w:eastAsia="zh-CN"/>
              </w:rPr>
              <w:t>面向专业/大类</w:t>
            </w:r>
          </w:p>
        </w:tc>
        <w:tc>
          <w:tcPr>
            <w:tcW w:w="7157" w:type="dxa"/>
            <w:gridSpan w:val="5"/>
            <w:vAlign w:val="center"/>
          </w:tcPr>
          <w:p w14:paraId="75704FA1">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信息管理与信息系统Information Management and Information Systems</w:t>
            </w:r>
          </w:p>
        </w:tc>
      </w:tr>
      <w:tr w14:paraId="65398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18BC9E3F">
            <w:pPr>
              <w:pStyle w:val="2"/>
              <w:adjustRightInd w:val="0"/>
              <w:snapToGrid w:val="0"/>
              <w:ind w:firstLine="0" w:firstLineChars="0"/>
              <w:jc w:val="center"/>
              <w:rPr>
                <w:rFonts w:eastAsia="宋体"/>
                <w:sz w:val="24"/>
                <w:lang w:val="en-US" w:eastAsia="zh-CN"/>
              </w:rPr>
            </w:pPr>
            <w:r>
              <w:rPr>
                <w:rFonts w:eastAsia="宋体"/>
                <w:sz w:val="24"/>
                <w:lang w:val="en-US" w:eastAsia="zh-CN"/>
              </w:rPr>
              <w:t>课程负责人</w:t>
            </w:r>
          </w:p>
        </w:tc>
        <w:tc>
          <w:tcPr>
            <w:tcW w:w="7157" w:type="dxa"/>
            <w:gridSpan w:val="5"/>
            <w:vAlign w:val="center"/>
          </w:tcPr>
          <w:p w14:paraId="7F15834C">
            <w:pPr>
              <w:pStyle w:val="2"/>
              <w:adjustRightInd w:val="0"/>
              <w:snapToGrid w:val="0"/>
              <w:ind w:firstLine="0" w:firstLineChars="0"/>
              <w:jc w:val="center"/>
              <w:rPr>
                <w:rFonts w:hint="eastAsia" w:eastAsia="宋体"/>
                <w:sz w:val="24"/>
                <w:lang w:val="en-US" w:eastAsia="zh-CN"/>
              </w:rPr>
            </w:pPr>
            <w:r>
              <w:rPr>
                <w:rFonts w:hint="eastAsia" w:eastAsia="宋体"/>
                <w:sz w:val="24"/>
                <w:lang w:val="en-US" w:eastAsia="zh-CN"/>
              </w:rPr>
              <w:t>宋昊阳</w:t>
            </w:r>
          </w:p>
        </w:tc>
      </w:tr>
      <w:tr w14:paraId="7F0C8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35246547">
            <w:pPr>
              <w:pStyle w:val="2"/>
              <w:adjustRightInd w:val="0"/>
              <w:snapToGrid w:val="0"/>
              <w:ind w:firstLine="0" w:firstLineChars="0"/>
              <w:jc w:val="center"/>
              <w:rPr>
                <w:rFonts w:eastAsia="宋体"/>
                <w:sz w:val="24"/>
                <w:lang w:val="en-US" w:eastAsia="zh-CN"/>
              </w:rPr>
            </w:pPr>
            <w:r>
              <w:rPr>
                <w:rFonts w:eastAsia="宋体"/>
                <w:sz w:val="24"/>
                <w:lang w:val="en-US" w:eastAsia="zh-CN"/>
              </w:rPr>
              <w:t>先修课程</w:t>
            </w:r>
          </w:p>
        </w:tc>
        <w:tc>
          <w:tcPr>
            <w:tcW w:w="7157" w:type="dxa"/>
            <w:gridSpan w:val="5"/>
            <w:vAlign w:val="center"/>
          </w:tcPr>
          <w:p w14:paraId="35DD4244">
            <w:pPr>
              <w:pStyle w:val="2"/>
              <w:adjustRightInd w:val="0"/>
              <w:snapToGrid w:val="0"/>
              <w:ind w:firstLine="0" w:firstLineChars="0"/>
              <w:jc w:val="left"/>
              <w:rPr>
                <w:rFonts w:hint="eastAsia" w:eastAsia="宋体"/>
                <w:sz w:val="24"/>
                <w:lang w:val="en-US" w:eastAsia="zh-CN"/>
              </w:rPr>
            </w:pPr>
          </w:p>
        </w:tc>
      </w:tr>
      <w:tr w14:paraId="3E000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vAlign w:val="center"/>
          </w:tcPr>
          <w:p w14:paraId="4D7466A2">
            <w:pPr>
              <w:pStyle w:val="2"/>
              <w:spacing w:line="480" w:lineRule="exact"/>
              <w:ind w:firstLine="0" w:firstLineChars="0"/>
              <w:jc w:val="center"/>
              <w:rPr>
                <w:rFonts w:eastAsia="宋体"/>
                <w:sz w:val="24"/>
                <w:lang w:val="en-US" w:eastAsia="zh-CN"/>
              </w:rPr>
            </w:pPr>
          </w:p>
          <w:p w14:paraId="4D9BA286">
            <w:pPr>
              <w:pStyle w:val="2"/>
              <w:spacing w:line="480" w:lineRule="exact"/>
              <w:ind w:firstLine="0" w:firstLineChars="0"/>
              <w:jc w:val="center"/>
              <w:rPr>
                <w:rFonts w:eastAsia="宋体"/>
                <w:sz w:val="24"/>
                <w:lang w:val="en-US" w:eastAsia="zh-CN"/>
              </w:rPr>
            </w:pPr>
          </w:p>
          <w:p w14:paraId="7BE70AF1">
            <w:pPr>
              <w:pStyle w:val="2"/>
              <w:spacing w:line="480" w:lineRule="exact"/>
              <w:ind w:firstLine="0" w:firstLineChars="0"/>
              <w:jc w:val="center"/>
              <w:rPr>
                <w:rFonts w:eastAsia="宋体"/>
                <w:sz w:val="24"/>
                <w:lang w:val="en-US" w:eastAsia="zh-CN"/>
              </w:rPr>
            </w:pPr>
            <w:r>
              <w:rPr>
                <w:rFonts w:eastAsia="宋体"/>
                <w:sz w:val="24"/>
                <w:lang w:val="en-US" w:eastAsia="zh-CN"/>
              </w:rPr>
              <w:t>课程目标</w:t>
            </w:r>
          </w:p>
          <w:p w14:paraId="1A468233">
            <w:pPr>
              <w:pStyle w:val="2"/>
              <w:spacing w:line="480" w:lineRule="exact"/>
              <w:ind w:firstLine="0" w:firstLineChars="0"/>
              <w:jc w:val="center"/>
              <w:rPr>
                <w:rFonts w:eastAsia="宋体"/>
                <w:sz w:val="24"/>
                <w:lang w:val="en-US" w:eastAsia="zh-CN"/>
              </w:rPr>
            </w:pPr>
          </w:p>
          <w:p w14:paraId="1C195855">
            <w:pPr>
              <w:pStyle w:val="2"/>
              <w:spacing w:line="480" w:lineRule="exact"/>
              <w:ind w:firstLine="0" w:firstLineChars="0"/>
              <w:jc w:val="center"/>
              <w:rPr>
                <w:rFonts w:eastAsia="宋体"/>
                <w:sz w:val="24"/>
                <w:lang w:val="en-US" w:eastAsia="zh-CN"/>
              </w:rPr>
            </w:pPr>
          </w:p>
        </w:tc>
        <w:tc>
          <w:tcPr>
            <w:tcW w:w="7157" w:type="dxa"/>
            <w:gridSpan w:val="5"/>
            <w:vAlign w:val="center"/>
          </w:tcPr>
          <w:p w14:paraId="62DC7D7D">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课程主要以理论讲授和案例分析的形式进行，案例分析主要选取我国优秀企业案例，进而融入“文化自信”、“制度自信”等内容，让学生进一步增强四个自信。通过对竞争情报产品的设计与竞争情报决策制定过程的分析等，让学生树立正确的价值观和伦理观。</w:t>
            </w:r>
          </w:p>
          <w:p w14:paraId="76D8B286">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通过课程学习，使学生牢固掌握企业竞争情报的概念和特点、企业竞争情报的作用和流程、市场竞争与企业竞争情报、企业竞争情报的信息源；一般掌握企业竞争情报研究的内容、企业竞争情报研究的方法、企业竞争情报系统和企业反竞争情报研究；一般了解大数据环境下的企业竞争情报研究、企业竞争情报的组织管理等内容。</w:t>
            </w:r>
          </w:p>
        </w:tc>
      </w:tr>
    </w:tbl>
    <w:p w14:paraId="6E74316C">
      <w:pPr>
        <w:spacing w:line="480" w:lineRule="exact"/>
        <w:ind w:firstLine="480" w:firstLineChars="200"/>
        <w:rPr>
          <w:sz w:val="24"/>
        </w:rPr>
      </w:pPr>
    </w:p>
    <w:p w14:paraId="2BC93AF2">
      <w:pPr>
        <w:spacing w:line="480" w:lineRule="exact"/>
        <w:ind w:firstLine="480" w:firstLineChars="200"/>
        <w:rPr>
          <w:sz w:val="24"/>
        </w:rPr>
      </w:pPr>
      <w:r>
        <w:rPr>
          <w:sz w:val="24"/>
        </w:rPr>
        <w:t>二、课程基本内容（要求有一定的字数，不能过于简单）</w:t>
      </w:r>
    </w:p>
    <w:p w14:paraId="77553BCC">
      <w:pPr>
        <w:spacing w:line="480" w:lineRule="exact"/>
        <w:ind w:firstLine="480" w:firstLineChars="200"/>
        <w:rPr>
          <w:sz w:val="24"/>
        </w:rPr>
      </w:pPr>
      <w:r>
        <w:rPr>
          <w:sz w:val="24"/>
        </w:rPr>
        <w:t>（一）</w:t>
      </w:r>
      <w:r>
        <w:rPr>
          <w:rFonts w:hint="eastAsia"/>
          <w:b/>
          <w:sz w:val="24"/>
        </w:rPr>
        <w:t>教学进度表</w:t>
      </w:r>
    </w:p>
    <w:tbl>
      <w:tblPr>
        <w:tblStyle w:val="8"/>
        <w:tblW w:w="8435"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602"/>
        <w:gridCol w:w="1174"/>
        <w:gridCol w:w="1045"/>
        <w:gridCol w:w="1174"/>
        <w:gridCol w:w="1176"/>
        <w:gridCol w:w="1218"/>
        <w:gridCol w:w="1046"/>
      </w:tblGrid>
      <w:tr w14:paraId="3123DFE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55" w:hRule="atLeast"/>
          <w:jc w:val="center"/>
        </w:trPr>
        <w:tc>
          <w:tcPr>
            <w:tcW w:w="5096" w:type="dxa"/>
            <w:vAlign w:val="center"/>
          </w:tcPr>
          <w:p w14:paraId="4D3F4EE9">
            <w:pPr>
              <w:jc w:val="center"/>
              <w:rPr>
                <w:rFonts w:hint="eastAsia" w:ascii="24x12 宋体"/>
                <w:b/>
                <w:bCs/>
                <w:sz w:val="24"/>
                <w:szCs w:val="20"/>
              </w:rPr>
            </w:pPr>
            <w:r>
              <w:rPr>
                <w:rFonts w:hint="eastAsia" w:ascii="24x12 宋体"/>
                <w:b/>
                <w:bCs/>
                <w:sz w:val="24"/>
                <w:szCs w:val="20"/>
              </w:rPr>
              <w:t>章节次序及名称(细化至节，必填)</w:t>
            </w:r>
          </w:p>
        </w:tc>
        <w:tc>
          <w:tcPr>
            <w:tcW w:w="5096" w:type="dxa"/>
            <w:vAlign w:val="center"/>
          </w:tcPr>
          <w:p w14:paraId="6E4DDC05">
            <w:pPr>
              <w:jc w:val="center"/>
              <w:rPr>
                <w:rFonts w:hint="eastAsia" w:ascii="24x12 宋体"/>
                <w:b/>
                <w:bCs/>
                <w:sz w:val="24"/>
                <w:szCs w:val="20"/>
              </w:rPr>
            </w:pPr>
            <w:r>
              <w:rPr>
                <w:rFonts w:hint="eastAsia" w:ascii="24x12 宋体"/>
                <w:b/>
                <w:bCs/>
                <w:sz w:val="24"/>
                <w:szCs w:val="20"/>
              </w:rPr>
              <w:t>主要教学内容(必填)</w:t>
            </w:r>
          </w:p>
        </w:tc>
        <w:tc>
          <w:tcPr>
            <w:tcW w:w="1803" w:type="dxa"/>
          </w:tcPr>
          <w:p w14:paraId="11872CE0">
            <w:pPr>
              <w:jc w:val="center"/>
              <w:rPr>
                <w:rFonts w:ascii="24x12 宋体"/>
                <w:b/>
                <w:bCs/>
                <w:sz w:val="24"/>
                <w:szCs w:val="20"/>
              </w:rPr>
            </w:pPr>
            <w:r>
              <w:rPr>
                <w:rFonts w:hint="eastAsia" w:ascii="24x12 宋体"/>
                <w:b/>
                <w:bCs/>
                <w:sz w:val="24"/>
                <w:szCs w:val="20"/>
              </w:rPr>
              <w:t>所需学时(必填)</w:t>
            </w:r>
          </w:p>
        </w:tc>
        <w:tc>
          <w:tcPr>
            <w:tcW w:w="1920" w:type="dxa"/>
            <w:vAlign w:val="center"/>
          </w:tcPr>
          <w:p w14:paraId="0192A67F">
            <w:pPr>
              <w:jc w:val="center"/>
              <w:rPr>
                <w:rFonts w:hint="eastAsia"/>
                <w:b/>
                <w:bCs/>
                <w:sz w:val="24"/>
                <w:szCs w:val="20"/>
              </w:rPr>
            </w:pPr>
            <w:r>
              <w:rPr>
                <w:rFonts w:hint="eastAsia" w:ascii="24x12 宋体"/>
                <w:b/>
                <w:bCs/>
                <w:sz w:val="24"/>
                <w:szCs w:val="20"/>
              </w:rPr>
              <w:t>育人元素</w:t>
            </w:r>
          </w:p>
        </w:tc>
        <w:tc>
          <w:tcPr>
            <w:tcW w:w="1920" w:type="dxa"/>
            <w:vAlign w:val="center"/>
          </w:tcPr>
          <w:p w14:paraId="18702B78">
            <w:pPr>
              <w:jc w:val="center"/>
              <w:rPr>
                <w:rFonts w:hint="eastAsia"/>
                <w:b/>
                <w:bCs/>
                <w:sz w:val="24"/>
                <w:szCs w:val="20"/>
              </w:rPr>
            </w:pPr>
            <w:r>
              <w:rPr>
                <w:rFonts w:hint="eastAsia" w:ascii="24x12 宋体"/>
                <w:b/>
                <w:bCs/>
                <w:sz w:val="24"/>
                <w:szCs w:val="20"/>
              </w:rPr>
              <w:t>重点、难点(选填)</w:t>
            </w:r>
          </w:p>
        </w:tc>
        <w:tc>
          <w:tcPr>
            <w:tcW w:w="1419" w:type="dxa"/>
            <w:vAlign w:val="center"/>
          </w:tcPr>
          <w:p w14:paraId="4D719EC8">
            <w:pPr>
              <w:jc w:val="center"/>
              <w:rPr>
                <w:rFonts w:hint="eastAsia" w:ascii="24x12 宋体"/>
                <w:b/>
                <w:bCs/>
                <w:sz w:val="24"/>
                <w:szCs w:val="20"/>
              </w:rPr>
            </w:pPr>
            <w:r>
              <w:rPr>
                <w:rFonts w:hint="eastAsia" w:ascii="24x12 宋体"/>
                <w:b/>
                <w:bCs/>
                <w:sz w:val="24"/>
                <w:szCs w:val="20"/>
              </w:rPr>
              <w:t>周次(选填)</w:t>
            </w:r>
          </w:p>
        </w:tc>
        <w:tc>
          <w:tcPr>
            <w:tcW w:w="1920" w:type="dxa"/>
            <w:vAlign w:val="center"/>
          </w:tcPr>
          <w:p w14:paraId="6DD96AE8">
            <w:pPr>
              <w:jc w:val="center"/>
              <w:rPr>
                <w:rFonts w:hint="eastAsia"/>
                <w:b/>
                <w:bCs/>
                <w:sz w:val="24"/>
                <w:szCs w:val="20"/>
              </w:rPr>
            </w:pPr>
            <w:r>
              <w:rPr>
                <w:rFonts w:hint="eastAsia" w:ascii="24x12 宋体"/>
                <w:b/>
                <w:bCs/>
                <w:sz w:val="24"/>
                <w:szCs w:val="20"/>
              </w:rPr>
              <w:t>备注(选填)</w:t>
            </w:r>
          </w:p>
        </w:tc>
      </w:tr>
      <w:tr w14:paraId="7CE1BFB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0DE9EF08">
            <w:pPr>
              <w:rPr>
                <w:rFonts w:ascii="宋体" w:hAnsi="宋体" w:eastAsia="宋体"/>
                <w:sz w:val="24"/>
                <w:szCs w:val="24"/>
              </w:rPr>
            </w:pPr>
            <w:r>
              <w:rPr>
                <w:rFonts w:hint="eastAsia" w:ascii="宋体" w:hAnsi="宋体" w:eastAsia="宋体"/>
                <w:sz w:val="24"/>
                <w:szCs w:val="24"/>
              </w:rPr>
              <w:t>第1章 企业竞争情报概述</w:t>
            </w:r>
          </w:p>
          <w:p w14:paraId="39C49E88">
            <w:pPr>
              <w:rPr>
                <w:rFonts w:ascii="宋体" w:hAnsi="宋体" w:eastAsia="宋体"/>
                <w:sz w:val="24"/>
                <w:szCs w:val="24"/>
              </w:rPr>
            </w:pPr>
            <w:r>
              <w:rPr>
                <w:rFonts w:hint="eastAsia" w:ascii="宋体" w:hAnsi="宋体" w:eastAsia="宋体"/>
                <w:sz w:val="24"/>
                <w:szCs w:val="24"/>
              </w:rPr>
              <w:t>1.1 企业竞争情报的概念</w:t>
            </w:r>
          </w:p>
          <w:p w14:paraId="4D8BD20B">
            <w:pPr>
              <w:rPr>
                <w:rFonts w:ascii="宋体" w:hAnsi="宋体" w:eastAsia="宋体"/>
                <w:sz w:val="24"/>
                <w:szCs w:val="24"/>
              </w:rPr>
            </w:pPr>
            <w:r>
              <w:rPr>
                <w:rFonts w:hint="eastAsia" w:ascii="宋体" w:hAnsi="宋体" w:eastAsia="宋体"/>
                <w:sz w:val="24"/>
                <w:szCs w:val="24"/>
              </w:rPr>
              <w:t>1.2 企业竞争情报的实践案例</w:t>
            </w:r>
          </w:p>
          <w:p w14:paraId="2515B518">
            <w:pPr>
              <w:rPr>
                <w:rFonts w:ascii="宋体" w:hAnsi="宋体" w:eastAsia="宋体"/>
                <w:sz w:val="24"/>
                <w:szCs w:val="24"/>
              </w:rPr>
            </w:pPr>
            <w:r>
              <w:rPr>
                <w:rFonts w:hint="eastAsia" w:ascii="宋体" w:hAnsi="宋体" w:eastAsia="宋体"/>
                <w:sz w:val="24"/>
                <w:szCs w:val="24"/>
              </w:rPr>
              <w:t>1.3 企业竞争情报的作用</w:t>
            </w:r>
          </w:p>
        </w:tc>
        <w:tc>
          <w:tcPr>
            <w:tcW w:w="5096" w:type="dxa"/>
            <w:vAlign w:val="center"/>
          </w:tcPr>
          <w:p w14:paraId="2ED25F8A">
            <w:pPr>
              <w:rPr>
                <w:rFonts w:ascii="宋体" w:hAnsi="宋体" w:eastAsia="宋体"/>
                <w:sz w:val="24"/>
                <w:szCs w:val="24"/>
              </w:rPr>
            </w:pPr>
            <w:r>
              <w:rPr>
                <w:rFonts w:hint="eastAsia" w:ascii="宋体" w:hAnsi="宋体" w:eastAsia="宋体"/>
                <w:sz w:val="24"/>
                <w:szCs w:val="24"/>
              </w:rPr>
              <w:t>了解业竞争情报的概念、特点、作用、流程，了解市场竞争与企业竞争情报的关系</w:t>
            </w:r>
          </w:p>
        </w:tc>
        <w:tc>
          <w:tcPr>
            <w:tcW w:w="5096" w:type="dxa"/>
            <w:vAlign w:val="center"/>
          </w:tcPr>
          <w:p w14:paraId="5A9F20B9">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7804AA7E">
            <w:pPr>
              <w:rPr>
                <w:rFonts w:ascii="宋体" w:hAnsi="宋体" w:eastAsia="宋体"/>
                <w:sz w:val="24"/>
                <w:szCs w:val="24"/>
              </w:rPr>
            </w:pPr>
            <w:r>
              <w:rPr>
                <w:rFonts w:hint="eastAsia" w:ascii="宋体" w:hAnsi="宋体" w:eastAsia="宋体"/>
                <w:sz w:val="24"/>
                <w:szCs w:val="24"/>
              </w:rPr>
              <w:t>以我国企业优秀案例为基础，培养学生对我国企业和社会主义市场经济的认识和理解，提升学生的制度自信和文化自信</w:t>
            </w:r>
          </w:p>
        </w:tc>
        <w:tc>
          <w:tcPr>
            <w:tcW w:w="5096" w:type="dxa"/>
            <w:vAlign w:val="center"/>
          </w:tcPr>
          <w:p w14:paraId="1ED76517">
            <w:pPr>
              <w:rPr>
                <w:rFonts w:ascii="宋体" w:hAnsi="宋体" w:eastAsia="宋体"/>
                <w:sz w:val="24"/>
                <w:szCs w:val="24"/>
              </w:rPr>
            </w:pPr>
            <w:r>
              <w:rPr>
                <w:rFonts w:hint="eastAsia" w:ascii="宋体" w:hAnsi="宋体" w:eastAsia="宋体"/>
                <w:sz w:val="24"/>
                <w:szCs w:val="24"/>
              </w:rPr>
              <w:t>重点掌握企业竞争情报的作用和工作流程难点是竞争情报的工作流程</w:t>
            </w:r>
          </w:p>
        </w:tc>
        <w:tc>
          <w:tcPr>
            <w:tcW w:w="1555" w:type="dxa"/>
            <w:vAlign w:val="center"/>
          </w:tcPr>
          <w:p w14:paraId="5C0DAF3F">
            <w:pPr>
              <w:jc w:val="center"/>
              <w:rPr>
                <w:rFonts w:ascii="宋体" w:hAnsi="宋体" w:eastAsia="宋体"/>
                <w:sz w:val="24"/>
                <w:szCs w:val="24"/>
              </w:rPr>
            </w:pPr>
            <w:r>
              <w:rPr>
                <w:rFonts w:hint="eastAsia" w:ascii="宋体" w:hAnsi="宋体" w:eastAsia="宋体"/>
                <w:sz w:val="24"/>
                <w:szCs w:val="24"/>
              </w:rPr>
              <w:t>第1,2 周</w:t>
            </w:r>
          </w:p>
        </w:tc>
        <w:tc>
          <w:tcPr>
            <w:tcW w:w="5096" w:type="dxa"/>
            <w:vAlign w:val="center"/>
          </w:tcPr>
          <w:p w14:paraId="1680FE41">
            <w:pPr>
              <w:rPr>
                <w:rFonts w:ascii="宋体" w:hAnsi="宋体" w:eastAsia="宋体"/>
                <w:sz w:val="24"/>
                <w:szCs w:val="24"/>
              </w:rPr>
            </w:pPr>
          </w:p>
        </w:tc>
      </w:tr>
      <w:tr w14:paraId="6D06968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C8AE577">
            <w:pPr>
              <w:rPr>
                <w:rFonts w:ascii="宋体" w:hAnsi="宋体" w:eastAsia="宋体"/>
                <w:sz w:val="24"/>
                <w:szCs w:val="24"/>
              </w:rPr>
            </w:pPr>
            <w:r>
              <w:rPr>
                <w:rFonts w:hint="eastAsia" w:ascii="宋体" w:hAnsi="宋体" w:eastAsia="宋体"/>
                <w:sz w:val="24"/>
                <w:szCs w:val="24"/>
              </w:rPr>
              <w:t>第2章 企业竞争情报需求与组织</w:t>
            </w:r>
          </w:p>
          <w:p w14:paraId="0A285869">
            <w:pPr>
              <w:rPr>
                <w:rFonts w:ascii="宋体" w:hAnsi="宋体" w:eastAsia="宋体"/>
                <w:sz w:val="24"/>
                <w:szCs w:val="24"/>
              </w:rPr>
            </w:pPr>
            <w:r>
              <w:rPr>
                <w:rFonts w:hint="eastAsia" w:ascii="宋体" w:hAnsi="宋体" w:eastAsia="宋体"/>
                <w:sz w:val="24"/>
                <w:szCs w:val="24"/>
              </w:rPr>
              <w:t>2.1 企业竞争情报的内容</w:t>
            </w:r>
          </w:p>
          <w:p w14:paraId="053560AA">
            <w:pPr>
              <w:rPr>
                <w:rFonts w:ascii="宋体" w:hAnsi="宋体" w:eastAsia="宋体"/>
                <w:sz w:val="24"/>
                <w:szCs w:val="24"/>
              </w:rPr>
            </w:pPr>
            <w:r>
              <w:rPr>
                <w:rFonts w:hint="eastAsia" w:ascii="宋体" w:hAnsi="宋体" w:eastAsia="宋体"/>
                <w:sz w:val="24"/>
                <w:szCs w:val="24"/>
              </w:rPr>
              <w:t>2.2 企业竞争情报的需求</w:t>
            </w:r>
          </w:p>
          <w:p w14:paraId="5C078DB2">
            <w:pPr>
              <w:rPr>
                <w:rFonts w:ascii="宋体" w:hAnsi="宋体" w:eastAsia="宋体"/>
                <w:sz w:val="24"/>
                <w:szCs w:val="24"/>
              </w:rPr>
            </w:pPr>
            <w:r>
              <w:rPr>
                <w:rFonts w:hint="eastAsia" w:ascii="宋体" w:hAnsi="宋体" w:eastAsia="宋体"/>
                <w:sz w:val="24"/>
                <w:szCs w:val="24"/>
              </w:rPr>
              <w:t>2.3 企业竞争情报的组织</w:t>
            </w:r>
          </w:p>
        </w:tc>
        <w:tc>
          <w:tcPr>
            <w:tcW w:w="5096" w:type="dxa"/>
            <w:vAlign w:val="center"/>
          </w:tcPr>
          <w:p w14:paraId="488AB263">
            <w:pPr>
              <w:rPr>
                <w:rFonts w:ascii="宋体" w:hAnsi="宋体" w:eastAsia="宋体"/>
                <w:sz w:val="24"/>
                <w:szCs w:val="24"/>
              </w:rPr>
            </w:pPr>
            <w:r>
              <w:rPr>
                <w:rFonts w:hint="eastAsia" w:ascii="宋体" w:hAnsi="宋体" w:eastAsia="宋体"/>
                <w:sz w:val="24"/>
                <w:szCs w:val="24"/>
              </w:rPr>
              <w:t>了解企业竞争情报需求，掌握对竞争对手、竞争环境和竞争战略的三大内容的分析</w:t>
            </w:r>
          </w:p>
          <w:p w14:paraId="5335775E">
            <w:pPr>
              <w:rPr>
                <w:rFonts w:ascii="宋体" w:hAnsi="宋体" w:eastAsia="宋体"/>
                <w:sz w:val="24"/>
                <w:szCs w:val="24"/>
              </w:rPr>
            </w:pPr>
            <w:r>
              <w:rPr>
                <w:rFonts w:hint="eastAsia" w:ascii="宋体" w:hAnsi="宋体" w:eastAsia="宋体"/>
                <w:sz w:val="24"/>
                <w:szCs w:val="24"/>
              </w:rPr>
              <w:t>掌握企业竞争情报研究中的常见信息源及其搜集、整理和鉴别方法</w:t>
            </w:r>
          </w:p>
        </w:tc>
        <w:tc>
          <w:tcPr>
            <w:tcW w:w="5096" w:type="dxa"/>
            <w:vAlign w:val="center"/>
          </w:tcPr>
          <w:p w14:paraId="1FE7F1A6">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680D2953">
            <w:pPr>
              <w:rPr>
                <w:rFonts w:ascii="宋体" w:hAnsi="宋体" w:eastAsia="宋体"/>
                <w:sz w:val="24"/>
                <w:szCs w:val="24"/>
              </w:rPr>
            </w:pPr>
            <w:r>
              <w:rPr>
                <w:rFonts w:hint="eastAsia" w:ascii="宋体" w:hAnsi="宋体" w:eastAsia="宋体"/>
                <w:sz w:val="24"/>
                <w:szCs w:val="24"/>
              </w:rPr>
              <w:t>通过企业技术竞争情报的案例分析，融入信息伦理和技术竞争伦理的内容，提升学生对职业伦理和素养的认识</w:t>
            </w:r>
          </w:p>
        </w:tc>
        <w:tc>
          <w:tcPr>
            <w:tcW w:w="5096" w:type="dxa"/>
            <w:vAlign w:val="center"/>
          </w:tcPr>
          <w:p w14:paraId="4A75F4A2">
            <w:pPr>
              <w:rPr>
                <w:rFonts w:ascii="宋体" w:hAnsi="宋体" w:eastAsia="宋体"/>
                <w:sz w:val="24"/>
                <w:szCs w:val="24"/>
              </w:rPr>
            </w:pPr>
            <w:r>
              <w:rPr>
                <w:rFonts w:hint="eastAsia" w:ascii="宋体" w:hAnsi="宋体" w:eastAsia="宋体"/>
                <w:sz w:val="24"/>
                <w:szCs w:val="24"/>
              </w:rPr>
              <w:t>重点掌握企业竞争情报的三大核心内容，以及信息源的整理，难点是信息源的鉴别</w:t>
            </w:r>
          </w:p>
        </w:tc>
        <w:tc>
          <w:tcPr>
            <w:tcW w:w="1555" w:type="dxa"/>
            <w:vAlign w:val="center"/>
          </w:tcPr>
          <w:p w14:paraId="56DAAD15">
            <w:pPr>
              <w:jc w:val="center"/>
              <w:rPr>
                <w:rFonts w:ascii="宋体" w:hAnsi="宋体" w:eastAsia="宋体"/>
                <w:sz w:val="24"/>
                <w:szCs w:val="24"/>
              </w:rPr>
            </w:pPr>
            <w:r>
              <w:rPr>
                <w:rFonts w:hint="eastAsia" w:ascii="宋体" w:hAnsi="宋体" w:eastAsia="宋体"/>
                <w:sz w:val="24"/>
                <w:szCs w:val="24"/>
              </w:rPr>
              <w:t>第3 周</w:t>
            </w:r>
          </w:p>
        </w:tc>
        <w:tc>
          <w:tcPr>
            <w:tcW w:w="5096" w:type="dxa"/>
            <w:vAlign w:val="center"/>
          </w:tcPr>
          <w:p w14:paraId="08620C52">
            <w:pPr>
              <w:rPr>
                <w:rFonts w:ascii="宋体" w:hAnsi="宋体" w:eastAsia="宋体"/>
                <w:sz w:val="24"/>
                <w:szCs w:val="24"/>
              </w:rPr>
            </w:pPr>
          </w:p>
        </w:tc>
      </w:tr>
      <w:tr w14:paraId="2A4DD8F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6AB7990">
            <w:pPr>
              <w:rPr>
                <w:rFonts w:ascii="宋体" w:hAnsi="宋体" w:eastAsia="宋体"/>
                <w:sz w:val="24"/>
                <w:szCs w:val="24"/>
              </w:rPr>
            </w:pPr>
            <w:r>
              <w:rPr>
                <w:rFonts w:hint="eastAsia" w:ascii="宋体" w:hAnsi="宋体" w:eastAsia="宋体"/>
                <w:sz w:val="24"/>
                <w:szCs w:val="24"/>
              </w:rPr>
              <w:t>第3章 企业竞争情报的信息源与分析流程</w:t>
            </w:r>
          </w:p>
          <w:p w14:paraId="1C89386C">
            <w:pPr>
              <w:rPr>
                <w:rFonts w:ascii="宋体" w:hAnsi="宋体" w:eastAsia="宋体"/>
                <w:sz w:val="24"/>
                <w:szCs w:val="24"/>
              </w:rPr>
            </w:pPr>
            <w:r>
              <w:rPr>
                <w:rFonts w:hint="eastAsia" w:ascii="宋体" w:hAnsi="宋体" w:eastAsia="宋体"/>
                <w:sz w:val="24"/>
                <w:szCs w:val="24"/>
              </w:rPr>
              <w:t>3.1 信息源的类型和特点</w:t>
            </w:r>
          </w:p>
          <w:p w14:paraId="0D621B62">
            <w:pPr>
              <w:rPr>
                <w:rFonts w:ascii="宋体" w:hAnsi="宋体" w:eastAsia="宋体"/>
                <w:sz w:val="24"/>
                <w:szCs w:val="24"/>
              </w:rPr>
            </w:pPr>
            <w:r>
              <w:rPr>
                <w:rFonts w:hint="eastAsia" w:ascii="宋体" w:hAnsi="宋体" w:eastAsia="宋体"/>
                <w:sz w:val="24"/>
                <w:szCs w:val="24"/>
              </w:rPr>
              <w:t>3.2 企业竞争情报分析的流程</w:t>
            </w:r>
          </w:p>
          <w:p w14:paraId="327D806E">
            <w:pPr>
              <w:rPr>
                <w:rFonts w:ascii="宋体" w:hAnsi="宋体" w:eastAsia="宋体"/>
                <w:sz w:val="24"/>
                <w:szCs w:val="24"/>
              </w:rPr>
            </w:pPr>
            <w:r>
              <w:rPr>
                <w:rFonts w:hint="eastAsia" w:ascii="宋体" w:hAnsi="宋体" w:eastAsia="宋体"/>
                <w:sz w:val="24"/>
                <w:szCs w:val="24"/>
              </w:rPr>
              <w:t>3.4 AI时代的信息的搜集、整理和鉴别</w:t>
            </w:r>
          </w:p>
        </w:tc>
        <w:tc>
          <w:tcPr>
            <w:tcW w:w="5096" w:type="dxa"/>
            <w:vAlign w:val="center"/>
          </w:tcPr>
          <w:p w14:paraId="6E491D8F">
            <w:pPr>
              <w:rPr>
                <w:rFonts w:ascii="宋体" w:hAnsi="宋体" w:eastAsia="宋体"/>
                <w:sz w:val="24"/>
                <w:szCs w:val="24"/>
              </w:rPr>
            </w:pPr>
            <w:r>
              <w:rPr>
                <w:rFonts w:hint="eastAsia" w:ascii="宋体" w:hAnsi="宋体" w:eastAsia="宋体"/>
                <w:sz w:val="24"/>
                <w:szCs w:val="24"/>
              </w:rPr>
              <w:t>掌握企业竞争情报分析的基础工具和关键分析技术，了解大数据环境企业竞争情报分析的前沿工具和关键技术</w:t>
            </w:r>
          </w:p>
        </w:tc>
        <w:tc>
          <w:tcPr>
            <w:tcW w:w="5096" w:type="dxa"/>
            <w:vAlign w:val="center"/>
          </w:tcPr>
          <w:p w14:paraId="3028424B">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1DEB1C33">
            <w:pPr>
              <w:rPr>
                <w:rFonts w:ascii="宋体" w:hAnsi="宋体" w:eastAsia="宋体"/>
                <w:sz w:val="24"/>
                <w:szCs w:val="24"/>
              </w:rPr>
            </w:pPr>
            <w:r>
              <w:rPr>
                <w:rFonts w:hint="eastAsia" w:ascii="宋体" w:hAnsi="宋体" w:eastAsia="宋体"/>
                <w:sz w:val="24"/>
                <w:szCs w:val="24"/>
              </w:rPr>
              <w:t>从信息源的类型引出我国科学技术信息发展的现状，经济信息等基本概况，提升对我国国情和相关政策的理解同时，在信息搜集和整理的案例分析中，融入对我国信息产业发展和优秀企业的信息管理内容，提升国情和政策教育</w:t>
            </w:r>
          </w:p>
        </w:tc>
        <w:tc>
          <w:tcPr>
            <w:tcW w:w="5096" w:type="dxa"/>
            <w:vAlign w:val="center"/>
          </w:tcPr>
          <w:p w14:paraId="11F4559C">
            <w:pPr>
              <w:rPr>
                <w:rFonts w:ascii="宋体" w:hAnsi="宋体" w:eastAsia="宋体"/>
                <w:sz w:val="24"/>
                <w:szCs w:val="24"/>
              </w:rPr>
            </w:pPr>
            <w:r>
              <w:rPr>
                <w:rFonts w:hint="eastAsia" w:ascii="宋体" w:hAnsi="宋体" w:eastAsia="宋体"/>
                <w:sz w:val="24"/>
                <w:szCs w:val="24"/>
              </w:rPr>
              <w:t>重点掌握经典的竞争情报分析工作，难点是对前沿分析工具的掌握和应用</w:t>
            </w:r>
          </w:p>
        </w:tc>
        <w:tc>
          <w:tcPr>
            <w:tcW w:w="1555" w:type="dxa"/>
            <w:vAlign w:val="center"/>
          </w:tcPr>
          <w:p w14:paraId="1CEC14A9">
            <w:pPr>
              <w:jc w:val="center"/>
              <w:rPr>
                <w:rFonts w:ascii="宋体" w:hAnsi="宋体" w:eastAsia="宋体"/>
                <w:sz w:val="24"/>
                <w:szCs w:val="24"/>
              </w:rPr>
            </w:pPr>
            <w:r>
              <w:rPr>
                <w:rFonts w:hint="eastAsia" w:ascii="宋体" w:hAnsi="宋体" w:eastAsia="宋体"/>
                <w:sz w:val="24"/>
                <w:szCs w:val="24"/>
              </w:rPr>
              <w:t>第4 周</w:t>
            </w:r>
          </w:p>
        </w:tc>
        <w:tc>
          <w:tcPr>
            <w:tcW w:w="5096" w:type="dxa"/>
            <w:vAlign w:val="center"/>
          </w:tcPr>
          <w:p w14:paraId="3C89049E">
            <w:pPr>
              <w:rPr>
                <w:rFonts w:ascii="宋体" w:hAnsi="宋体" w:eastAsia="宋体"/>
                <w:sz w:val="24"/>
                <w:szCs w:val="24"/>
              </w:rPr>
            </w:pPr>
          </w:p>
        </w:tc>
      </w:tr>
      <w:tr w14:paraId="21D569E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366B500B">
            <w:pPr>
              <w:rPr>
                <w:rFonts w:ascii="宋体" w:hAnsi="宋体" w:eastAsia="宋体"/>
                <w:sz w:val="24"/>
                <w:szCs w:val="24"/>
              </w:rPr>
            </w:pPr>
            <w:r>
              <w:rPr>
                <w:rFonts w:hint="eastAsia" w:ascii="宋体" w:hAnsi="宋体" w:eastAsia="宋体"/>
                <w:sz w:val="24"/>
                <w:szCs w:val="24"/>
              </w:rPr>
              <w:t>第4章 企业外部竞争环境分析</w:t>
            </w:r>
          </w:p>
          <w:p w14:paraId="451C1C04">
            <w:pPr>
              <w:rPr>
                <w:rFonts w:ascii="宋体" w:hAnsi="宋体" w:eastAsia="宋体"/>
                <w:sz w:val="24"/>
                <w:szCs w:val="24"/>
              </w:rPr>
            </w:pPr>
            <w:r>
              <w:rPr>
                <w:rFonts w:hint="eastAsia" w:ascii="宋体" w:hAnsi="宋体" w:eastAsia="宋体"/>
                <w:sz w:val="24"/>
                <w:szCs w:val="24"/>
              </w:rPr>
              <w:t>4.1 企业竞争环境分析概述</w:t>
            </w:r>
          </w:p>
          <w:p w14:paraId="01D8BBF9">
            <w:pPr>
              <w:rPr>
                <w:rFonts w:ascii="宋体" w:hAnsi="宋体" w:eastAsia="宋体"/>
                <w:sz w:val="24"/>
                <w:szCs w:val="24"/>
              </w:rPr>
            </w:pPr>
            <w:r>
              <w:rPr>
                <w:rFonts w:hint="eastAsia" w:ascii="宋体" w:hAnsi="宋体" w:eastAsia="宋体"/>
                <w:sz w:val="24"/>
                <w:szCs w:val="24"/>
              </w:rPr>
              <w:t>4.2 综合分析框架——PEST（案例）</w:t>
            </w:r>
          </w:p>
          <w:p w14:paraId="19B3D626">
            <w:pPr>
              <w:rPr>
                <w:rFonts w:ascii="宋体" w:hAnsi="宋体" w:eastAsia="宋体"/>
                <w:sz w:val="24"/>
                <w:szCs w:val="24"/>
              </w:rPr>
            </w:pPr>
            <w:r>
              <w:rPr>
                <w:rFonts w:hint="eastAsia" w:ascii="宋体" w:hAnsi="宋体" w:eastAsia="宋体"/>
                <w:sz w:val="24"/>
                <w:szCs w:val="24"/>
              </w:rPr>
              <w:t>4.3 政策环境分析——政策计量</w:t>
            </w:r>
          </w:p>
          <w:p w14:paraId="6CDC484C">
            <w:pPr>
              <w:rPr>
                <w:rFonts w:ascii="宋体" w:hAnsi="宋体" w:eastAsia="宋体"/>
                <w:sz w:val="24"/>
                <w:szCs w:val="24"/>
              </w:rPr>
            </w:pPr>
            <w:r>
              <w:rPr>
                <w:rFonts w:hint="eastAsia" w:ascii="宋体" w:hAnsi="宋体" w:eastAsia="宋体"/>
                <w:sz w:val="24"/>
                <w:szCs w:val="24"/>
              </w:rPr>
              <w:t>4.4 技术环境分析——专利情报分析（案例）</w:t>
            </w:r>
          </w:p>
          <w:p w14:paraId="46633BC9">
            <w:pPr>
              <w:rPr>
                <w:rFonts w:ascii="宋体" w:hAnsi="宋体" w:eastAsia="宋体"/>
                <w:sz w:val="24"/>
                <w:szCs w:val="24"/>
              </w:rPr>
            </w:pPr>
            <w:r>
              <w:rPr>
                <w:rFonts w:hint="eastAsia" w:ascii="宋体" w:hAnsi="宋体" w:eastAsia="宋体"/>
                <w:sz w:val="24"/>
                <w:szCs w:val="24"/>
              </w:rPr>
              <w:t>4.5 经济与社会环境分析——数据获取</w:t>
            </w:r>
          </w:p>
        </w:tc>
        <w:tc>
          <w:tcPr>
            <w:tcW w:w="5096" w:type="dxa"/>
            <w:vAlign w:val="center"/>
          </w:tcPr>
          <w:p w14:paraId="1D98E55F">
            <w:pPr>
              <w:rPr>
                <w:rFonts w:ascii="宋体" w:hAnsi="宋体" w:eastAsia="宋体"/>
                <w:sz w:val="24"/>
                <w:szCs w:val="24"/>
              </w:rPr>
            </w:pPr>
            <w:r>
              <w:rPr>
                <w:rFonts w:hint="eastAsia" w:ascii="宋体" w:hAnsi="宋体" w:eastAsia="宋体"/>
                <w:sz w:val="24"/>
                <w:szCs w:val="24"/>
              </w:rPr>
              <w:t>掌握企业外部竞争环境的分析思路与前沿分析方法与技术</w:t>
            </w:r>
          </w:p>
        </w:tc>
        <w:tc>
          <w:tcPr>
            <w:tcW w:w="5096" w:type="dxa"/>
            <w:vAlign w:val="center"/>
          </w:tcPr>
          <w:p w14:paraId="4F8C7D2B">
            <w:pPr>
              <w:rPr>
                <w:rFonts w:ascii="宋体" w:hAnsi="宋体" w:eastAsia="宋体"/>
                <w:sz w:val="24"/>
                <w:szCs w:val="24"/>
              </w:rPr>
            </w:pPr>
            <w:r>
              <w:rPr>
                <w:rFonts w:hint="eastAsia" w:ascii="宋体" w:hAnsi="宋体" w:eastAsia="宋体"/>
                <w:sz w:val="24"/>
                <w:szCs w:val="24"/>
              </w:rPr>
              <w:t>8</w:t>
            </w:r>
          </w:p>
        </w:tc>
        <w:tc>
          <w:tcPr>
            <w:tcW w:w="5096" w:type="dxa"/>
            <w:vAlign w:val="center"/>
          </w:tcPr>
          <w:p w14:paraId="21E46BB0">
            <w:pPr>
              <w:rPr>
                <w:rFonts w:ascii="宋体" w:hAnsi="宋体" w:eastAsia="宋体"/>
                <w:sz w:val="24"/>
                <w:szCs w:val="24"/>
              </w:rPr>
            </w:pPr>
            <w:r>
              <w:rPr>
                <w:rFonts w:hint="eastAsia" w:ascii="宋体" w:hAnsi="宋体" w:eastAsia="宋体"/>
                <w:sz w:val="24"/>
                <w:szCs w:val="24"/>
              </w:rPr>
              <w:t>在研究方法的应用环节，通过最新的竞争情报案例分析融入社会主义市场经济和国情教育，提升学生四个自信和文化认同的意识</w:t>
            </w:r>
          </w:p>
        </w:tc>
        <w:tc>
          <w:tcPr>
            <w:tcW w:w="5096" w:type="dxa"/>
            <w:vAlign w:val="center"/>
          </w:tcPr>
          <w:p w14:paraId="759A44BE">
            <w:pPr>
              <w:rPr>
                <w:rFonts w:ascii="宋体" w:hAnsi="宋体" w:eastAsia="宋体"/>
                <w:sz w:val="24"/>
                <w:szCs w:val="24"/>
              </w:rPr>
            </w:pPr>
            <w:r>
              <w:rPr>
                <w:rFonts w:hint="eastAsia" w:ascii="宋体" w:hAnsi="宋体" w:eastAsia="宋体"/>
                <w:sz w:val="24"/>
                <w:szCs w:val="24"/>
              </w:rPr>
              <w:t>重点掌握政策计量、专利计量分方法与工具</w:t>
            </w:r>
          </w:p>
        </w:tc>
        <w:tc>
          <w:tcPr>
            <w:tcW w:w="1555" w:type="dxa"/>
            <w:vAlign w:val="center"/>
          </w:tcPr>
          <w:p w14:paraId="3B086F12">
            <w:pPr>
              <w:jc w:val="center"/>
              <w:rPr>
                <w:rFonts w:ascii="宋体" w:hAnsi="宋体" w:eastAsia="宋体"/>
                <w:sz w:val="24"/>
                <w:szCs w:val="24"/>
              </w:rPr>
            </w:pPr>
            <w:r>
              <w:rPr>
                <w:rFonts w:hint="eastAsia" w:ascii="宋体" w:hAnsi="宋体" w:eastAsia="宋体"/>
                <w:sz w:val="24"/>
                <w:szCs w:val="24"/>
              </w:rPr>
              <w:t>第5,6,7,8 周</w:t>
            </w:r>
          </w:p>
        </w:tc>
        <w:tc>
          <w:tcPr>
            <w:tcW w:w="5096" w:type="dxa"/>
            <w:vAlign w:val="center"/>
          </w:tcPr>
          <w:p w14:paraId="0538C273">
            <w:pPr>
              <w:rPr>
                <w:rFonts w:ascii="宋体" w:hAnsi="宋体" w:eastAsia="宋体"/>
                <w:sz w:val="24"/>
                <w:szCs w:val="24"/>
              </w:rPr>
            </w:pPr>
          </w:p>
        </w:tc>
      </w:tr>
      <w:tr w14:paraId="0035991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52B39048">
            <w:pPr>
              <w:rPr>
                <w:rFonts w:ascii="宋体" w:hAnsi="宋体" w:eastAsia="宋体"/>
                <w:sz w:val="24"/>
                <w:szCs w:val="24"/>
              </w:rPr>
            </w:pPr>
            <w:r>
              <w:rPr>
                <w:rFonts w:hint="eastAsia" w:ascii="宋体" w:hAnsi="宋体" w:eastAsia="宋体"/>
                <w:sz w:val="24"/>
                <w:szCs w:val="24"/>
              </w:rPr>
              <w:t>第5章 企业内部竞争环境分析</w:t>
            </w:r>
          </w:p>
          <w:p w14:paraId="75D728B8">
            <w:pPr>
              <w:rPr>
                <w:rFonts w:ascii="宋体" w:hAnsi="宋体" w:eastAsia="宋体"/>
                <w:sz w:val="24"/>
                <w:szCs w:val="24"/>
              </w:rPr>
            </w:pPr>
            <w:r>
              <w:rPr>
                <w:rFonts w:hint="eastAsia" w:ascii="宋体" w:hAnsi="宋体" w:eastAsia="宋体"/>
                <w:sz w:val="24"/>
                <w:szCs w:val="24"/>
              </w:rPr>
              <w:t>5.1 企业资源分析</w:t>
            </w:r>
          </w:p>
          <w:p w14:paraId="4F140E3E">
            <w:pPr>
              <w:rPr>
                <w:rFonts w:ascii="宋体" w:hAnsi="宋体" w:eastAsia="宋体"/>
                <w:sz w:val="24"/>
                <w:szCs w:val="24"/>
              </w:rPr>
            </w:pPr>
            <w:r>
              <w:rPr>
                <w:rFonts w:hint="eastAsia" w:ascii="宋体" w:hAnsi="宋体" w:eastAsia="宋体"/>
                <w:sz w:val="24"/>
                <w:szCs w:val="24"/>
              </w:rPr>
              <w:t>5.2 企业能力分析</w:t>
            </w:r>
          </w:p>
          <w:p w14:paraId="345DEC14">
            <w:pPr>
              <w:rPr>
                <w:rFonts w:ascii="宋体" w:hAnsi="宋体" w:eastAsia="宋体"/>
                <w:sz w:val="24"/>
                <w:szCs w:val="24"/>
              </w:rPr>
            </w:pPr>
            <w:r>
              <w:rPr>
                <w:rFonts w:hint="eastAsia" w:ascii="宋体" w:hAnsi="宋体" w:eastAsia="宋体"/>
                <w:sz w:val="24"/>
                <w:szCs w:val="24"/>
              </w:rPr>
              <w:t>5.3 企业内部竞争环境分析案例</w:t>
            </w:r>
          </w:p>
        </w:tc>
        <w:tc>
          <w:tcPr>
            <w:tcW w:w="5096" w:type="dxa"/>
            <w:vAlign w:val="center"/>
          </w:tcPr>
          <w:p w14:paraId="5AC1C32A">
            <w:pPr>
              <w:rPr>
                <w:rFonts w:ascii="宋体" w:hAnsi="宋体" w:eastAsia="宋体"/>
                <w:sz w:val="24"/>
                <w:szCs w:val="24"/>
              </w:rPr>
            </w:pPr>
            <w:r>
              <w:rPr>
                <w:rFonts w:hint="eastAsia" w:ascii="宋体" w:hAnsi="宋体" w:eastAsia="宋体"/>
                <w:sz w:val="24"/>
                <w:szCs w:val="24"/>
              </w:rPr>
              <w:t>理解企业内部竞争环境的构成，以及在实践中的表现</w:t>
            </w:r>
          </w:p>
        </w:tc>
        <w:tc>
          <w:tcPr>
            <w:tcW w:w="5096" w:type="dxa"/>
            <w:vAlign w:val="center"/>
          </w:tcPr>
          <w:p w14:paraId="35F2B243">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379399F6">
            <w:pPr>
              <w:rPr>
                <w:rFonts w:ascii="宋体" w:hAnsi="宋体" w:eastAsia="宋体"/>
                <w:sz w:val="24"/>
                <w:szCs w:val="24"/>
              </w:rPr>
            </w:pPr>
            <w:r>
              <w:rPr>
                <w:rFonts w:hint="eastAsia" w:ascii="宋体" w:hAnsi="宋体" w:eastAsia="宋体"/>
                <w:sz w:val="24"/>
                <w:szCs w:val="24"/>
              </w:rPr>
              <w:t>通过案例分析，培养学生对我国企业信息安全、信息素养的认识，增强学生的文化认同</w:t>
            </w:r>
          </w:p>
        </w:tc>
        <w:tc>
          <w:tcPr>
            <w:tcW w:w="5096" w:type="dxa"/>
            <w:vAlign w:val="center"/>
          </w:tcPr>
          <w:p w14:paraId="5269EA95">
            <w:pPr>
              <w:rPr>
                <w:rFonts w:ascii="宋体" w:hAnsi="宋体" w:eastAsia="宋体"/>
                <w:sz w:val="24"/>
                <w:szCs w:val="24"/>
              </w:rPr>
            </w:pPr>
            <w:r>
              <w:rPr>
                <w:rFonts w:hint="eastAsia" w:ascii="宋体" w:hAnsi="宋体" w:eastAsia="宋体"/>
                <w:sz w:val="24"/>
                <w:szCs w:val="24"/>
              </w:rPr>
              <w:t>重点掌握开展内部环境分析的逻辑与要素提炼方法</w:t>
            </w:r>
          </w:p>
        </w:tc>
        <w:tc>
          <w:tcPr>
            <w:tcW w:w="1555" w:type="dxa"/>
            <w:vAlign w:val="center"/>
          </w:tcPr>
          <w:p w14:paraId="7813200E">
            <w:pPr>
              <w:jc w:val="center"/>
              <w:rPr>
                <w:rFonts w:ascii="宋体" w:hAnsi="宋体" w:eastAsia="宋体"/>
                <w:sz w:val="24"/>
                <w:szCs w:val="24"/>
              </w:rPr>
            </w:pPr>
            <w:r>
              <w:rPr>
                <w:rFonts w:hint="eastAsia" w:ascii="宋体" w:hAnsi="宋体" w:eastAsia="宋体"/>
                <w:sz w:val="24"/>
                <w:szCs w:val="24"/>
              </w:rPr>
              <w:t>第10,9 周</w:t>
            </w:r>
          </w:p>
        </w:tc>
        <w:tc>
          <w:tcPr>
            <w:tcW w:w="5096" w:type="dxa"/>
            <w:vAlign w:val="center"/>
          </w:tcPr>
          <w:p w14:paraId="24491EBA">
            <w:pPr>
              <w:rPr>
                <w:rFonts w:ascii="宋体" w:hAnsi="宋体" w:eastAsia="宋体"/>
                <w:sz w:val="24"/>
                <w:szCs w:val="24"/>
              </w:rPr>
            </w:pPr>
          </w:p>
        </w:tc>
      </w:tr>
      <w:tr w14:paraId="0215E04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13C2AA35">
            <w:pPr>
              <w:rPr>
                <w:rFonts w:ascii="宋体" w:hAnsi="宋体" w:eastAsia="宋体"/>
                <w:sz w:val="24"/>
                <w:szCs w:val="24"/>
              </w:rPr>
            </w:pPr>
            <w:r>
              <w:rPr>
                <w:rFonts w:hint="eastAsia" w:ascii="宋体" w:hAnsi="宋体" w:eastAsia="宋体"/>
                <w:sz w:val="24"/>
                <w:szCs w:val="24"/>
              </w:rPr>
              <w:t>第6章 企业竞争对手分析与方法</w:t>
            </w:r>
          </w:p>
          <w:p w14:paraId="78A49075">
            <w:pPr>
              <w:rPr>
                <w:rFonts w:ascii="宋体" w:hAnsi="宋体" w:eastAsia="宋体"/>
                <w:sz w:val="24"/>
                <w:szCs w:val="24"/>
              </w:rPr>
            </w:pPr>
            <w:r>
              <w:rPr>
                <w:rFonts w:hint="eastAsia" w:ascii="宋体" w:hAnsi="宋体" w:eastAsia="宋体"/>
                <w:sz w:val="24"/>
                <w:szCs w:val="24"/>
              </w:rPr>
              <w:t>6.1 企业竞争对手分析概述</w:t>
            </w:r>
          </w:p>
          <w:p w14:paraId="746250F5">
            <w:pPr>
              <w:rPr>
                <w:rFonts w:ascii="宋体" w:hAnsi="宋体" w:eastAsia="宋体"/>
                <w:sz w:val="24"/>
                <w:szCs w:val="24"/>
              </w:rPr>
            </w:pPr>
            <w:r>
              <w:rPr>
                <w:rFonts w:hint="eastAsia" w:ascii="宋体" w:hAnsi="宋体" w:eastAsia="宋体"/>
                <w:sz w:val="24"/>
                <w:szCs w:val="24"/>
              </w:rPr>
              <w:t>6.2 综合分析框架——定标比超（案例）</w:t>
            </w:r>
          </w:p>
          <w:p w14:paraId="47924047">
            <w:pPr>
              <w:rPr>
                <w:rFonts w:ascii="宋体" w:hAnsi="宋体" w:eastAsia="宋体"/>
                <w:sz w:val="24"/>
                <w:szCs w:val="24"/>
              </w:rPr>
            </w:pPr>
            <w:r>
              <w:rPr>
                <w:rFonts w:hint="eastAsia" w:ascii="宋体" w:hAnsi="宋体" w:eastAsia="宋体"/>
                <w:sz w:val="24"/>
                <w:szCs w:val="24"/>
              </w:rPr>
              <w:t>6.3 财务报表分析（案例）</w:t>
            </w:r>
          </w:p>
          <w:p w14:paraId="704D3A2B">
            <w:pPr>
              <w:rPr>
                <w:rFonts w:ascii="宋体" w:hAnsi="宋体" w:eastAsia="宋体"/>
                <w:sz w:val="24"/>
                <w:szCs w:val="24"/>
              </w:rPr>
            </w:pPr>
            <w:r>
              <w:rPr>
                <w:rFonts w:hint="eastAsia" w:ascii="宋体" w:hAnsi="宋体" w:eastAsia="宋体"/>
                <w:sz w:val="24"/>
                <w:szCs w:val="24"/>
              </w:rPr>
              <w:t>6.4 竞品分析</w:t>
            </w:r>
          </w:p>
          <w:p w14:paraId="6945687C">
            <w:pPr>
              <w:rPr>
                <w:rFonts w:ascii="宋体" w:hAnsi="宋体" w:eastAsia="宋体"/>
                <w:sz w:val="24"/>
                <w:szCs w:val="24"/>
              </w:rPr>
            </w:pPr>
            <w:r>
              <w:rPr>
                <w:rFonts w:hint="eastAsia" w:ascii="宋体" w:hAnsi="宋体" w:eastAsia="宋体"/>
                <w:sz w:val="24"/>
                <w:szCs w:val="24"/>
              </w:rPr>
              <w:t>6.5 反求工程</w:t>
            </w:r>
          </w:p>
        </w:tc>
        <w:tc>
          <w:tcPr>
            <w:tcW w:w="5096" w:type="dxa"/>
            <w:vAlign w:val="center"/>
          </w:tcPr>
          <w:p w14:paraId="02332A2E">
            <w:pPr>
              <w:rPr>
                <w:rFonts w:ascii="宋体" w:hAnsi="宋体" w:eastAsia="宋体"/>
                <w:sz w:val="24"/>
                <w:szCs w:val="24"/>
              </w:rPr>
            </w:pPr>
            <w:r>
              <w:rPr>
                <w:rFonts w:hint="eastAsia" w:ascii="宋体" w:hAnsi="宋体" w:eastAsia="宋体"/>
                <w:sz w:val="24"/>
                <w:szCs w:val="24"/>
              </w:rPr>
              <w:t>掌握企业竞争对手的分析思路与前沿分析方法与技术</w:t>
            </w:r>
          </w:p>
        </w:tc>
        <w:tc>
          <w:tcPr>
            <w:tcW w:w="5096" w:type="dxa"/>
            <w:vAlign w:val="center"/>
          </w:tcPr>
          <w:p w14:paraId="61EC3B77">
            <w:pPr>
              <w:rPr>
                <w:rFonts w:ascii="宋体" w:hAnsi="宋体" w:eastAsia="宋体"/>
                <w:sz w:val="24"/>
                <w:szCs w:val="24"/>
              </w:rPr>
            </w:pPr>
            <w:r>
              <w:rPr>
                <w:rFonts w:hint="eastAsia" w:ascii="宋体" w:hAnsi="宋体" w:eastAsia="宋体"/>
                <w:sz w:val="24"/>
                <w:szCs w:val="24"/>
              </w:rPr>
              <w:t>6</w:t>
            </w:r>
          </w:p>
        </w:tc>
        <w:tc>
          <w:tcPr>
            <w:tcW w:w="5096" w:type="dxa"/>
            <w:vAlign w:val="center"/>
          </w:tcPr>
          <w:p w14:paraId="560AEF9A">
            <w:pPr>
              <w:rPr>
                <w:rFonts w:ascii="宋体" w:hAnsi="宋体" w:eastAsia="宋体"/>
                <w:sz w:val="24"/>
                <w:szCs w:val="24"/>
              </w:rPr>
            </w:pPr>
            <w:r>
              <w:rPr>
                <w:rFonts w:hint="eastAsia" w:ascii="宋体" w:hAnsi="宋体" w:eastAsia="宋体"/>
                <w:sz w:val="24"/>
                <w:szCs w:val="24"/>
              </w:rPr>
              <w:t>通过对竞争情报前沿分析工具方法和技术手段的分析，引导学生对本学科前沿技术领域的认识，培养学生扎根本土企业的竞争情报分析能力和认同意识</w:t>
            </w:r>
          </w:p>
        </w:tc>
        <w:tc>
          <w:tcPr>
            <w:tcW w:w="5096" w:type="dxa"/>
            <w:vAlign w:val="center"/>
          </w:tcPr>
          <w:p w14:paraId="53A9AD7A">
            <w:pPr>
              <w:rPr>
                <w:rFonts w:ascii="宋体" w:hAnsi="宋体" w:eastAsia="宋体"/>
                <w:sz w:val="24"/>
                <w:szCs w:val="24"/>
              </w:rPr>
            </w:pPr>
            <w:r>
              <w:rPr>
                <w:rFonts w:hint="eastAsia" w:ascii="宋体" w:hAnsi="宋体" w:eastAsia="宋体"/>
                <w:sz w:val="24"/>
                <w:szCs w:val="24"/>
              </w:rPr>
              <w:t>重点掌握定标比超的核心思想，财务报表分析的基本方法以及竞品分析方法</w:t>
            </w:r>
          </w:p>
        </w:tc>
        <w:tc>
          <w:tcPr>
            <w:tcW w:w="1555" w:type="dxa"/>
            <w:vAlign w:val="center"/>
          </w:tcPr>
          <w:p w14:paraId="544D2192">
            <w:pPr>
              <w:jc w:val="center"/>
              <w:rPr>
                <w:rFonts w:ascii="宋体" w:hAnsi="宋体" w:eastAsia="宋体"/>
                <w:sz w:val="24"/>
                <w:szCs w:val="24"/>
              </w:rPr>
            </w:pPr>
            <w:r>
              <w:rPr>
                <w:rFonts w:hint="eastAsia" w:ascii="宋体" w:hAnsi="宋体" w:eastAsia="宋体"/>
                <w:sz w:val="24"/>
                <w:szCs w:val="24"/>
              </w:rPr>
              <w:t>第11,12,13 周</w:t>
            </w:r>
          </w:p>
        </w:tc>
        <w:tc>
          <w:tcPr>
            <w:tcW w:w="5096" w:type="dxa"/>
            <w:vAlign w:val="center"/>
          </w:tcPr>
          <w:p w14:paraId="3AC1E530">
            <w:pPr>
              <w:rPr>
                <w:rFonts w:ascii="宋体" w:hAnsi="宋体" w:eastAsia="宋体"/>
                <w:sz w:val="24"/>
                <w:szCs w:val="24"/>
              </w:rPr>
            </w:pPr>
          </w:p>
        </w:tc>
      </w:tr>
      <w:tr w14:paraId="328F04A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485E7048">
            <w:pPr>
              <w:rPr>
                <w:rFonts w:ascii="宋体" w:hAnsi="宋体" w:eastAsia="宋体"/>
                <w:sz w:val="24"/>
                <w:szCs w:val="24"/>
              </w:rPr>
            </w:pPr>
            <w:r>
              <w:rPr>
                <w:rFonts w:hint="eastAsia" w:ascii="宋体" w:hAnsi="宋体" w:eastAsia="宋体"/>
                <w:sz w:val="24"/>
                <w:szCs w:val="24"/>
              </w:rPr>
              <w:t>第7章 企业竞争战略分析与方法</w:t>
            </w:r>
          </w:p>
          <w:p w14:paraId="64D646C5">
            <w:pPr>
              <w:rPr>
                <w:rFonts w:ascii="宋体" w:hAnsi="宋体" w:eastAsia="宋体"/>
                <w:sz w:val="24"/>
                <w:szCs w:val="24"/>
              </w:rPr>
            </w:pPr>
            <w:r>
              <w:rPr>
                <w:rFonts w:hint="eastAsia" w:ascii="宋体" w:hAnsi="宋体" w:eastAsia="宋体"/>
                <w:sz w:val="24"/>
                <w:szCs w:val="24"/>
              </w:rPr>
              <w:t>7.1 企业竞争战略分析（案例）</w:t>
            </w:r>
          </w:p>
          <w:p w14:paraId="11C7B72E">
            <w:pPr>
              <w:rPr>
                <w:rFonts w:ascii="宋体" w:hAnsi="宋体" w:eastAsia="宋体"/>
                <w:sz w:val="24"/>
                <w:szCs w:val="24"/>
              </w:rPr>
            </w:pPr>
            <w:r>
              <w:rPr>
                <w:rFonts w:hint="eastAsia" w:ascii="宋体" w:hAnsi="宋体" w:eastAsia="宋体"/>
                <w:sz w:val="24"/>
                <w:szCs w:val="24"/>
              </w:rPr>
              <w:t>7.2 SWOT分析方法（案例）</w:t>
            </w:r>
          </w:p>
          <w:p w14:paraId="6089233E">
            <w:pPr>
              <w:rPr>
                <w:rFonts w:ascii="宋体" w:hAnsi="宋体" w:eastAsia="宋体"/>
                <w:sz w:val="24"/>
                <w:szCs w:val="24"/>
              </w:rPr>
            </w:pPr>
            <w:r>
              <w:rPr>
                <w:rFonts w:hint="eastAsia" w:ascii="宋体" w:hAnsi="宋体" w:eastAsia="宋体"/>
                <w:sz w:val="24"/>
                <w:szCs w:val="24"/>
              </w:rPr>
              <w:t>7.3 价值链分析</w:t>
            </w:r>
          </w:p>
          <w:p w14:paraId="20FBF43C">
            <w:pPr>
              <w:rPr>
                <w:rFonts w:ascii="宋体" w:hAnsi="宋体" w:eastAsia="宋体"/>
                <w:sz w:val="24"/>
                <w:szCs w:val="24"/>
              </w:rPr>
            </w:pPr>
            <w:r>
              <w:rPr>
                <w:rFonts w:hint="eastAsia" w:ascii="宋体" w:hAnsi="宋体" w:eastAsia="宋体"/>
                <w:sz w:val="24"/>
                <w:szCs w:val="24"/>
              </w:rPr>
              <w:t>7.4 关键成功因素（案例）</w:t>
            </w:r>
          </w:p>
          <w:p w14:paraId="537E7326">
            <w:pPr>
              <w:rPr>
                <w:rFonts w:ascii="宋体" w:hAnsi="宋体" w:eastAsia="宋体"/>
                <w:sz w:val="24"/>
                <w:szCs w:val="24"/>
              </w:rPr>
            </w:pPr>
            <w:r>
              <w:rPr>
                <w:rFonts w:hint="eastAsia" w:ascii="宋体" w:hAnsi="宋体" w:eastAsia="宋体"/>
                <w:sz w:val="24"/>
                <w:szCs w:val="24"/>
              </w:rPr>
              <w:t>7.5 情景分析与商业战争游戏</w:t>
            </w:r>
          </w:p>
        </w:tc>
        <w:tc>
          <w:tcPr>
            <w:tcW w:w="5096" w:type="dxa"/>
            <w:vAlign w:val="center"/>
          </w:tcPr>
          <w:p w14:paraId="681DE784">
            <w:pPr>
              <w:rPr>
                <w:rFonts w:ascii="宋体" w:hAnsi="宋体" w:eastAsia="宋体"/>
                <w:sz w:val="24"/>
                <w:szCs w:val="24"/>
              </w:rPr>
            </w:pPr>
            <w:r>
              <w:rPr>
                <w:rFonts w:hint="eastAsia" w:ascii="宋体" w:hAnsi="宋体" w:eastAsia="宋体"/>
                <w:sz w:val="24"/>
                <w:szCs w:val="24"/>
              </w:rPr>
              <w:t>掌握企业竞争战略分析与决策方法，理解关键成功因素的提取与分析</w:t>
            </w:r>
          </w:p>
        </w:tc>
        <w:tc>
          <w:tcPr>
            <w:tcW w:w="5096" w:type="dxa"/>
            <w:vAlign w:val="center"/>
          </w:tcPr>
          <w:p w14:paraId="75141635">
            <w:pPr>
              <w:rPr>
                <w:rFonts w:ascii="宋体" w:hAnsi="宋体" w:eastAsia="宋体"/>
                <w:sz w:val="24"/>
                <w:szCs w:val="24"/>
              </w:rPr>
            </w:pPr>
            <w:r>
              <w:rPr>
                <w:rFonts w:hint="eastAsia" w:ascii="宋体" w:hAnsi="宋体" w:eastAsia="宋体"/>
                <w:sz w:val="24"/>
                <w:szCs w:val="24"/>
              </w:rPr>
              <w:t>6</w:t>
            </w:r>
          </w:p>
        </w:tc>
        <w:tc>
          <w:tcPr>
            <w:tcW w:w="5096" w:type="dxa"/>
            <w:vAlign w:val="center"/>
          </w:tcPr>
          <w:p w14:paraId="56821633">
            <w:pPr>
              <w:rPr>
                <w:rFonts w:ascii="宋体" w:hAnsi="宋体" w:eastAsia="宋体"/>
                <w:sz w:val="24"/>
                <w:szCs w:val="24"/>
              </w:rPr>
            </w:pPr>
            <w:r>
              <w:rPr>
                <w:rFonts w:hint="eastAsia" w:ascii="宋体" w:hAnsi="宋体" w:eastAsia="宋体"/>
                <w:sz w:val="24"/>
                <w:szCs w:val="24"/>
              </w:rPr>
              <w:t>通过竞争战略分析与决策培养学生的战略思维意识与能力</w:t>
            </w:r>
          </w:p>
        </w:tc>
        <w:tc>
          <w:tcPr>
            <w:tcW w:w="5096" w:type="dxa"/>
            <w:vAlign w:val="center"/>
          </w:tcPr>
          <w:p w14:paraId="36FC8487">
            <w:pPr>
              <w:rPr>
                <w:rFonts w:ascii="宋体" w:hAnsi="宋体" w:eastAsia="宋体"/>
                <w:sz w:val="24"/>
                <w:szCs w:val="24"/>
              </w:rPr>
            </w:pPr>
            <w:r>
              <w:rPr>
                <w:rFonts w:hint="eastAsia" w:ascii="宋体" w:hAnsi="宋体" w:eastAsia="宋体"/>
                <w:sz w:val="24"/>
                <w:szCs w:val="24"/>
              </w:rPr>
              <w:t>重点掌握SWOT分析方法的应用，价值链分析的价值</w:t>
            </w:r>
          </w:p>
        </w:tc>
        <w:tc>
          <w:tcPr>
            <w:tcW w:w="1555" w:type="dxa"/>
            <w:vAlign w:val="center"/>
          </w:tcPr>
          <w:p w14:paraId="47320436">
            <w:pPr>
              <w:jc w:val="center"/>
              <w:rPr>
                <w:rFonts w:ascii="宋体" w:hAnsi="宋体" w:eastAsia="宋体"/>
                <w:sz w:val="24"/>
                <w:szCs w:val="24"/>
              </w:rPr>
            </w:pPr>
            <w:r>
              <w:rPr>
                <w:rFonts w:hint="eastAsia" w:ascii="宋体" w:hAnsi="宋体" w:eastAsia="宋体"/>
                <w:sz w:val="24"/>
                <w:szCs w:val="24"/>
              </w:rPr>
              <w:t>第14,15,16 周</w:t>
            </w:r>
          </w:p>
        </w:tc>
        <w:tc>
          <w:tcPr>
            <w:tcW w:w="5096" w:type="dxa"/>
            <w:vAlign w:val="center"/>
          </w:tcPr>
          <w:p w14:paraId="7F2D770E">
            <w:pPr>
              <w:rPr>
                <w:rFonts w:ascii="宋体" w:hAnsi="宋体" w:eastAsia="宋体"/>
                <w:sz w:val="24"/>
                <w:szCs w:val="24"/>
              </w:rPr>
            </w:pPr>
          </w:p>
        </w:tc>
      </w:tr>
      <w:tr w14:paraId="515A6B8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2D884845">
            <w:pPr>
              <w:rPr>
                <w:rFonts w:ascii="宋体" w:hAnsi="宋体" w:eastAsia="宋体"/>
                <w:sz w:val="24"/>
                <w:szCs w:val="24"/>
              </w:rPr>
            </w:pPr>
            <w:r>
              <w:rPr>
                <w:rFonts w:hint="eastAsia" w:ascii="宋体" w:hAnsi="宋体" w:eastAsia="宋体"/>
                <w:sz w:val="24"/>
                <w:szCs w:val="24"/>
              </w:rPr>
              <w:t>课程总结</w:t>
            </w:r>
          </w:p>
        </w:tc>
        <w:tc>
          <w:tcPr>
            <w:tcW w:w="5096" w:type="dxa"/>
            <w:vAlign w:val="center"/>
          </w:tcPr>
          <w:p w14:paraId="5825B3F4">
            <w:pPr>
              <w:rPr>
                <w:rFonts w:ascii="宋体" w:hAnsi="宋体" w:eastAsia="宋体"/>
                <w:sz w:val="24"/>
                <w:szCs w:val="24"/>
              </w:rPr>
            </w:pPr>
            <w:r>
              <w:rPr>
                <w:rFonts w:hint="eastAsia" w:ascii="宋体" w:hAnsi="宋体" w:eastAsia="宋体"/>
                <w:sz w:val="24"/>
                <w:szCs w:val="24"/>
              </w:rPr>
              <w:t>回顾课程内容，总结重点。</w:t>
            </w:r>
          </w:p>
        </w:tc>
        <w:tc>
          <w:tcPr>
            <w:tcW w:w="5096" w:type="dxa"/>
            <w:vAlign w:val="center"/>
          </w:tcPr>
          <w:p w14:paraId="252EBE1A">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02F9333C">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02F0E9FF">
            <w:pPr>
              <w:rPr>
                <w:rFonts w:ascii="宋体" w:hAnsi="宋体" w:eastAsia="宋体"/>
                <w:sz w:val="24"/>
                <w:szCs w:val="24"/>
              </w:rPr>
            </w:pPr>
            <w:r>
              <w:rPr>
                <w:rFonts w:hint="eastAsia" w:ascii="宋体" w:hAnsi="宋体" w:eastAsia="宋体"/>
                <w:sz w:val="24"/>
                <w:szCs w:val="24"/>
              </w:rPr>
              <w:t>无</w:t>
            </w:r>
          </w:p>
        </w:tc>
        <w:tc>
          <w:tcPr>
            <w:tcW w:w="1555" w:type="dxa"/>
            <w:vAlign w:val="center"/>
          </w:tcPr>
          <w:p w14:paraId="3D594DAC">
            <w:pPr>
              <w:jc w:val="center"/>
              <w:rPr>
                <w:rFonts w:ascii="宋体" w:hAnsi="宋体" w:eastAsia="宋体"/>
                <w:sz w:val="24"/>
                <w:szCs w:val="24"/>
              </w:rPr>
            </w:pPr>
            <w:r>
              <w:rPr>
                <w:rFonts w:hint="eastAsia" w:ascii="宋体" w:hAnsi="宋体" w:eastAsia="宋体"/>
                <w:sz w:val="24"/>
                <w:szCs w:val="24"/>
              </w:rPr>
              <w:t>第17 周</w:t>
            </w:r>
          </w:p>
        </w:tc>
        <w:tc>
          <w:tcPr>
            <w:tcW w:w="5096" w:type="dxa"/>
            <w:vAlign w:val="center"/>
          </w:tcPr>
          <w:p w14:paraId="616C26A8">
            <w:pPr>
              <w:rPr>
                <w:rFonts w:ascii="宋体" w:hAnsi="宋体" w:eastAsia="宋体"/>
                <w:sz w:val="24"/>
                <w:szCs w:val="24"/>
              </w:rPr>
            </w:pPr>
          </w:p>
        </w:tc>
      </w:tr>
    </w:tbl>
    <w:p w14:paraId="3EA2E696">
      <w:pPr>
        <w:spacing w:line="480" w:lineRule="exact"/>
        <w:ind w:firstLine="360" w:firstLineChars="150"/>
        <w:rPr>
          <w:rFonts w:hint="eastAsia"/>
          <w:sz w:val="24"/>
        </w:rPr>
      </w:pPr>
      <w:r>
        <w:rPr>
          <w:sz w:val="24"/>
        </w:rPr>
        <w:t>合计:34</w:t>
      </w:r>
    </w:p>
    <w:p w14:paraId="5A0EA665">
      <w:pPr>
        <w:spacing w:line="480" w:lineRule="exact"/>
        <w:rPr>
          <w:sz w:val="24"/>
        </w:rPr>
      </w:pPr>
    </w:p>
    <w:p w14:paraId="6055A9B4">
      <w:pPr>
        <w:spacing w:line="480" w:lineRule="exact"/>
        <w:rPr>
          <w:rFonts w:hint="eastAsia"/>
          <w:sz w:val="24"/>
        </w:rPr>
      </w:pPr>
    </w:p>
    <w:p w14:paraId="279E96A6">
      <w:pPr>
        <w:spacing w:line="480" w:lineRule="exact"/>
        <w:ind w:firstLine="480" w:firstLineChars="200"/>
        <w:rPr>
          <w:sz w:val="24"/>
        </w:rPr>
      </w:pPr>
      <w:r>
        <w:rPr>
          <w:sz w:val="24"/>
        </w:rPr>
        <w:t>（二）</w:t>
      </w:r>
      <w:r>
        <w:rPr>
          <w:b/>
          <w:sz w:val="24"/>
        </w:rPr>
        <w:t>教学环节安排</w:t>
      </w:r>
    </w:p>
    <w:p w14:paraId="0661BD00">
      <w:pPr>
        <w:spacing w:line="480" w:lineRule="exact"/>
        <w:ind w:firstLine="482" w:firstLineChars="200"/>
        <w:rPr>
          <w:sz w:val="24"/>
        </w:rPr>
      </w:pPr>
      <w:r>
        <w:rPr>
          <w:b/>
          <w:sz w:val="24"/>
        </w:rPr>
        <w:t>（对各种教学环节的安排如：实验、实习、习题课、作业等以及本课程与其他相关课程的联系、分工等作必要说明，教学环节的安排体现高阶性、创新性、挑战度）</w:t>
      </w:r>
    </w:p>
    <w:p w14:paraId="13807500">
      <w:pPr>
        <w:spacing w:line="480" w:lineRule="exact"/>
        <w:ind w:firstLine="360" w:firstLineChars="150"/>
        <w:rPr>
          <w:rFonts w:hint="eastAsia"/>
          <w:sz w:val="24"/>
        </w:rPr>
      </w:pPr>
    </w:p>
    <w:p w14:paraId="09269F2E">
      <w:pPr>
        <w:spacing w:line="480" w:lineRule="exact"/>
        <w:ind w:firstLine="360" w:firstLineChars="150"/>
        <w:rPr>
          <w:rFonts w:hint="eastAsia"/>
          <w:sz w:val="24"/>
        </w:rPr>
      </w:pPr>
      <w:r>
        <w:rPr>
          <w:sz w:val="24"/>
        </w:rPr>
        <w:t>1.理论讲授为主：对课程基础知识和重点、难点内容进行重点的讲解，结合学生已学习过的专业课知识，特别是相关课程的研究和分析方法，引导学生将所学知识在本课程学习中的应用，巩固学生的专业基础知识。</w:t>
      </w:r>
    </w:p>
    <w:p w14:paraId="4AA8E8B9">
      <w:pPr>
        <w:spacing w:line="480" w:lineRule="exact"/>
        <w:ind w:firstLine="360" w:firstLineChars="150"/>
        <w:rPr>
          <w:rFonts w:hint="eastAsia"/>
          <w:sz w:val="24"/>
        </w:rPr>
      </w:pPr>
    </w:p>
    <w:p w14:paraId="4028081E">
      <w:pPr>
        <w:spacing w:line="480" w:lineRule="exact"/>
        <w:ind w:firstLine="360" w:firstLineChars="150"/>
        <w:rPr>
          <w:rFonts w:hint="eastAsia"/>
          <w:sz w:val="24"/>
        </w:rPr>
      </w:pPr>
      <w:r>
        <w:rPr>
          <w:sz w:val="24"/>
        </w:rPr>
        <w:t>2.案例分析及研讨辅助：通过案例分析，提升学生的动手实践能力和创新应用能力。特别是引导学生关注本土企业案例，扎根本土企业开展企业竞争情报分析，引导和培养学生的创新思维和分析能力，培养学生对本土企业、文化的认同，提升“四个自信”。</w:t>
      </w:r>
    </w:p>
    <w:p w14:paraId="2BA990ED">
      <w:pPr>
        <w:spacing w:line="480" w:lineRule="exact"/>
        <w:ind w:firstLine="360" w:firstLineChars="150"/>
        <w:rPr>
          <w:rFonts w:hint="eastAsia"/>
          <w:sz w:val="24"/>
        </w:rPr>
      </w:pPr>
    </w:p>
    <w:p w14:paraId="7D9F9A1C">
      <w:pPr>
        <w:spacing w:line="480" w:lineRule="exact"/>
        <w:ind w:firstLine="360" w:firstLineChars="150"/>
        <w:rPr>
          <w:rFonts w:hint="eastAsia"/>
          <w:sz w:val="24"/>
        </w:rPr>
      </w:pPr>
      <w:r>
        <w:rPr>
          <w:sz w:val="24"/>
        </w:rPr>
        <w:t>3.实践与应用分析相结合：课后作业尽可能引导学生关注本土企业的竞争情报分析实践，关注本学科国际前沿领域，增强学生对本专业未来发展的职业认同和责任感。</w:t>
      </w:r>
    </w:p>
    <w:p w14:paraId="2F5750E4">
      <w:pPr>
        <w:spacing w:line="480" w:lineRule="exact"/>
        <w:rPr>
          <w:sz w:val="24"/>
        </w:rPr>
      </w:pPr>
    </w:p>
    <w:p w14:paraId="6522DC35">
      <w:pPr>
        <w:spacing w:line="480" w:lineRule="exact"/>
        <w:ind w:firstLine="480" w:firstLineChars="200"/>
        <w:rPr>
          <w:rFonts w:hint="eastAsia"/>
          <w:sz w:val="24"/>
        </w:rPr>
      </w:pPr>
      <w:r>
        <w:rPr>
          <w:sz w:val="24"/>
        </w:rPr>
        <w:t>（三）</w:t>
      </w:r>
      <w:r>
        <w:rPr>
          <w:b/>
          <w:sz w:val="24"/>
        </w:rPr>
        <w:t>教学方法</w:t>
      </w:r>
    </w:p>
    <w:p w14:paraId="1B4B1D77">
      <w:pPr>
        <w:spacing w:line="480" w:lineRule="exact"/>
        <w:ind w:firstLine="482" w:firstLineChars="200"/>
        <w:rPr>
          <w:rFonts w:hint="eastAsia"/>
          <w:sz w:val="24"/>
        </w:rPr>
      </w:pPr>
      <w:r>
        <w:rPr>
          <w:b/>
          <w:sz w:val="24"/>
        </w:rPr>
        <w:t>（包括课堂讲授、提问研讨，课后习题和答疑等情况，要增加团队学习、小组大作业、实验课和理论课的结合、使用信息技术方法、由教师和知识为中心转化为以学生和学习为中心）</w:t>
      </w:r>
    </w:p>
    <w:p w14:paraId="28164058">
      <w:pPr>
        <w:spacing w:line="480" w:lineRule="exact"/>
        <w:ind w:firstLine="360" w:firstLineChars="150"/>
        <w:rPr>
          <w:rFonts w:hint="eastAsia"/>
          <w:sz w:val="24"/>
        </w:rPr>
      </w:pPr>
      <w:r>
        <w:rPr>
          <w:sz w:val="24"/>
        </w:rPr>
        <w:t>教学主要包括课堂讲授、课后习题、案例分析及研讨、课堂答疑等方面。案例分析以学生为中心，教师点评、补充分析。</w:t>
      </w:r>
    </w:p>
    <w:p w14:paraId="5EDB54E6">
      <w:pPr>
        <w:spacing w:line="480" w:lineRule="exact"/>
        <w:ind w:firstLine="360" w:firstLineChars="150"/>
        <w:rPr>
          <w:rFonts w:hint="eastAsia"/>
          <w:sz w:val="24"/>
        </w:rPr>
      </w:pPr>
    </w:p>
    <w:p w14:paraId="1C6FF793">
      <w:pPr>
        <w:spacing w:line="480" w:lineRule="exact"/>
        <w:ind w:firstLine="360" w:firstLineChars="150"/>
        <w:rPr>
          <w:sz w:val="24"/>
        </w:rPr>
      </w:pPr>
    </w:p>
    <w:p w14:paraId="03CBD6F5">
      <w:pPr>
        <w:spacing w:line="480" w:lineRule="exact"/>
        <w:ind w:firstLine="480" w:firstLineChars="200"/>
        <w:rPr>
          <w:rFonts w:hint="eastAsia"/>
          <w:sz w:val="24"/>
        </w:rPr>
      </w:pPr>
      <w:r>
        <w:rPr>
          <w:sz w:val="24"/>
        </w:rPr>
        <w:t>（四）</w:t>
      </w:r>
      <w:r>
        <w:rPr>
          <w:b/>
          <w:sz w:val="24"/>
        </w:rPr>
        <w:t>课程教材（主讲教材尽量使用“马工程”和国家规划教材，在同类教材中，优先选用国家级规划教材，凡教材选用范围中有“马工程”重点教材的，必须选用工程重点教材。）</w:t>
      </w:r>
    </w:p>
    <w:p w14:paraId="238B3810">
      <w:pPr>
        <w:spacing w:line="480" w:lineRule="exact"/>
        <w:ind w:firstLine="360" w:firstLineChars="150"/>
        <w:rPr>
          <w:sz w:val="24"/>
        </w:rPr>
      </w:pPr>
      <w:r>
        <w:rPr>
          <w:rFonts w:hint="eastAsia"/>
          <w:sz w:val="24"/>
        </w:rPr>
        <w:t>查先进. 企业竞争情报(第二版)，武汉大学出版社，2020-12-01.</w:t>
      </w:r>
    </w:p>
    <w:p w14:paraId="3C64D1E4">
      <w:pPr>
        <w:spacing w:line="480" w:lineRule="exact"/>
        <w:ind w:firstLine="360" w:firstLineChars="150"/>
        <w:rPr>
          <w:sz w:val="24"/>
        </w:rPr>
      </w:pPr>
    </w:p>
    <w:p w14:paraId="050A48E3">
      <w:pPr>
        <w:spacing w:line="480" w:lineRule="exact"/>
        <w:ind w:firstLine="480" w:firstLineChars="200"/>
        <w:rPr>
          <w:sz w:val="24"/>
        </w:rPr>
      </w:pPr>
      <w:r>
        <w:rPr>
          <w:sz w:val="24"/>
        </w:rPr>
        <w:t>（五）</w:t>
      </w:r>
      <w:r>
        <w:rPr>
          <w:b/>
          <w:sz w:val="24"/>
        </w:rPr>
        <w:t>主要参考书目</w:t>
      </w:r>
    </w:p>
    <w:p w14:paraId="2C390193">
      <w:pPr>
        <w:spacing w:line="480" w:lineRule="exact"/>
        <w:ind w:firstLine="482" w:firstLineChars="200"/>
        <w:rPr>
          <w:sz w:val="24"/>
        </w:rPr>
      </w:pPr>
      <w:r>
        <w:rPr>
          <w:b/>
          <w:sz w:val="24"/>
        </w:rPr>
        <w:t>（推荐若干参考书，并注明书名、作者、出版社、版本、出版日期等，每个章节指定一定数量、明确的阅读资料）</w:t>
      </w:r>
    </w:p>
    <w:p w14:paraId="14483717">
      <w:pPr>
        <w:spacing w:line="480" w:lineRule="exact"/>
        <w:ind w:firstLine="360" w:firstLineChars="150"/>
        <w:rPr>
          <w:sz w:val="24"/>
        </w:rPr>
      </w:pPr>
      <w:r>
        <w:rPr>
          <w:rFonts w:hint="eastAsia"/>
          <w:sz w:val="24"/>
        </w:rPr>
        <w:t>[1]李国秋,吕斌. 企业竞争情报理论与实践，北京：清华大学出版社，2011.09.</w:t>
      </w:r>
    </w:p>
    <w:p w14:paraId="237A4292">
      <w:pPr>
        <w:spacing w:line="480" w:lineRule="exact"/>
        <w:ind w:firstLine="360" w:firstLineChars="150"/>
        <w:rPr>
          <w:sz w:val="24"/>
        </w:rPr>
      </w:pPr>
      <w:r>
        <w:rPr>
          <w:rFonts w:hint="eastAsia"/>
          <w:sz w:val="24"/>
        </w:rPr>
        <w:t>[2] 吴晓伟. 企业竞争情报(第二版)，大连理工大学出版社,2018.</w:t>
      </w:r>
    </w:p>
    <w:p w14:paraId="1AD83AA8">
      <w:pPr>
        <w:spacing w:line="480" w:lineRule="exact"/>
        <w:ind w:firstLine="480" w:firstLineChars="200"/>
        <w:rPr>
          <w:sz w:val="24"/>
        </w:rPr>
      </w:pPr>
      <w:r>
        <w:rPr>
          <w:sz w:val="24"/>
        </w:rPr>
        <w:t>（六）</w:t>
      </w:r>
      <w:r>
        <w:rPr>
          <w:b/>
          <w:sz w:val="24"/>
        </w:rPr>
        <w:t>成绩评定方式</w:t>
      </w:r>
    </w:p>
    <w:p w14:paraId="6A80ECFE">
      <w:pPr>
        <w:spacing w:line="480" w:lineRule="exact"/>
        <w:ind w:firstLine="482" w:firstLineChars="200"/>
        <w:rPr>
          <w:sz w:val="24"/>
        </w:rPr>
      </w:pPr>
      <w:r>
        <w:rPr>
          <w:b/>
          <w:sz w:val="24"/>
        </w:rPr>
        <w:t>课程考核应坚持过程性与结果性考核相结合，采用多种形式、多个阶段的考核方式，平时成绩一般占 40%~60%左右。</w:t>
      </w:r>
    </w:p>
    <w:p w14:paraId="285AD893">
      <w:pPr>
        <w:spacing w:line="480" w:lineRule="exact"/>
        <w:ind w:firstLine="482" w:firstLineChars="200"/>
        <w:rPr>
          <w:sz w:val="24"/>
        </w:rPr>
      </w:pPr>
      <w:r>
        <w:rPr>
          <w:rFonts w:hint="eastAsia"/>
          <w:b/>
          <w:sz w:val="24"/>
        </w:rPr>
        <w:t>考 核 方 式：考查</w:t>
      </w:r>
    </w:p>
    <w:p w14:paraId="2E706BC3">
      <w:pPr>
        <w:spacing w:line="480" w:lineRule="exact"/>
        <w:ind w:firstLine="482" w:firstLineChars="200"/>
        <w:rPr>
          <w:sz w:val="24"/>
        </w:rPr>
      </w:pPr>
      <w:r>
        <w:rPr>
          <w:rFonts w:hint="eastAsia"/>
          <w:b/>
          <w:sz w:val="24"/>
        </w:rPr>
        <w:t>成绩录入方式： 百分制</w:t>
      </w:r>
    </w:p>
    <w:p w14:paraId="6F5CAA69">
      <w:pPr>
        <w:spacing w:line="480" w:lineRule="exact"/>
        <w:ind w:firstLine="360" w:firstLineChars="150"/>
        <w:rPr>
          <w:sz w:val="24"/>
        </w:rPr>
      </w:pPr>
      <w:r>
        <w:rPr>
          <w:rFonts w:hint="eastAsia"/>
          <w:sz w:val="24"/>
        </w:rPr>
        <w:t>一、总成绩构成：平时考核占比50%，期末考查占比50%。</w:t>
      </w:r>
    </w:p>
    <w:p w14:paraId="25BA7620">
      <w:pPr>
        <w:spacing w:line="480" w:lineRule="exact"/>
        <w:ind w:firstLine="360" w:firstLineChars="150"/>
        <w:rPr>
          <w:sz w:val="24"/>
        </w:rPr>
      </w:pPr>
      <w:r>
        <w:rPr>
          <w:rFonts w:hint="eastAsia"/>
          <w:sz w:val="24"/>
        </w:rPr>
        <w:t>二、平时考核说明：满分100分</w:t>
      </w:r>
    </w:p>
    <w:p w14:paraId="059462E2">
      <w:pPr>
        <w:spacing w:line="480" w:lineRule="exact"/>
        <w:ind w:firstLine="360" w:firstLineChars="150"/>
        <w:rPr>
          <w:sz w:val="24"/>
        </w:rPr>
      </w:pPr>
      <w:r>
        <w:rPr>
          <w:rFonts w:hint="eastAsia"/>
          <w:sz w:val="24"/>
        </w:rPr>
        <w:t>（1）课堂参与度与出勤情况（占平时成绩40%）。每学期考勤次数不少于3次，无故旷课、迟到、早退等情况扣除当次考勤分数。请假须按照学校规定执行，须提前请假，不得由他人代请假；却因特殊情况未提前请假的，须事后1周内补齐请假手续，否则按旷课处理。</w:t>
      </w:r>
    </w:p>
    <w:p w14:paraId="674B1908">
      <w:pPr>
        <w:spacing w:line="480" w:lineRule="exact"/>
        <w:ind w:firstLine="360" w:firstLineChars="150"/>
        <w:rPr>
          <w:sz w:val="24"/>
        </w:rPr>
      </w:pPr>
      <w:r>
        <w:rPr>
          <w:rFonts w:hint="eastAsia"/>
          <w:sz w:val="24"/>
        </w:rPr>
        <w:t>（2）三次课后作业与小组课堂展示（占平时成绩60%）。根据教学进度安排3次课后作业，并以讨论、辩论、分析等形式进行课堂展示，每次作业20分。主要考察学生对讲授内容的理解和运用能力，由任课教师批阅并给分。未交、缓交作业的，当次不给分。因请假造成缓交作业的，须于销假时补交作业，否则按未交作业处理。</w:t>
      </w:r>
    </w:p>
    <w:p w14:paraId="5D87CE98">
      <w:pPr>
        <w:spacing w:line="480" w:lineRule="exact"/>
        <w:ind w:firstLine="360" w:firstLineChars="150"/>
        <w:rPr>
          <w:sz w:val="24"/>
        </w:rPr>
      </w:pPr>
    </w:p>
    <w:p w14:paraId="010260F8">
      <w:pPr>
        <w:spacing w:line="480" w:lineRule="exact"/>
        <w:ind w:firstLine="360" w:firstLineChars="150"/>
        <w:rPr>
          <w:sz w:val="24"/>
        </w:rPr>
      </w:pPr>
      <w:r>
        <w:rPr>
          <w:rFonts w:hint="eastAsia"/>
          <w:sz w:val="24"/>
        </w:rPr>
        <w:t>三、期末考查说明：满分100分</w:t>
      </w:r>
    </w:p>
    <w:p w14:paraId="6769ED87">
      <w:pPr>
        <w:spacing w:line="480" w:lineRule="exact"/>
        <w:ind w:firstLine="360" w:firstLineChars="150"/>
        <w:rPr>
          <w:sz w:val="24"/>
        </w:rPr>
      </w:pPr>
      <w:r>
        <w:rPr>
          <w:rFonts w:hint="eastAsia"/>
          <w:sz w:val="24"/>
        </w:rPr>
        <w:t>以真实企业为例，使用课程讲授的方法，开展企业竞争环境、对手与战略分析，形成分析报告。</w:t>
      </w:r>
    </w:p>
    <w:p w14:paraId="05E1B8A5">
      <w:pPr>
        <w:spacing w:line="480" w:lineRule="exact"/>
        <w:ind w:firstLine="360" w:firstLineChars="150"/>
        <w:rPr>
          <w:sz w:val="24"/>
        </w:rPr>
      </w:pPr>
      <w:r>
        <w:rPr>
          <w:rFonts w:hint="eastAsia"/>
          <w:sz w:val="24"/>
        </w:rPr>
        <w:t>评分要点：</w:t>
      </w:r>
    </w:p>
    <w:p w14:paraId="50A9811F">
      <w:pPr>
        <w:spacing w:line="480" w:lineRule="exact"/>
        <w:ind w:firstLine="360" w:firstLineChars="150"/>
        <w:rPr>
          <w:sz w:val="24"/>
        </w:rPr>
      </w:pPr>
      <w:r>
        <w:rPr>
          <w:rFonts w:hint="eastAsia"/>
          <w:sz w:val="24"/>
        </w:rPr>
        <w:t>（1）形式规范，20分。 A档18-20分，报告格式规范；B档15-18分，报告格式存在多处错误。</w:t>
      </w:r>
    </w:p>
    <w:p w14:paraId="5DCAF1A4">
      <w:pPr>
        <w:spacing w:line="480" w:lineRule="exact"/>
        <w:ind w:firstLine="360" w:firstLineChars="150"/>
        <w:rPr>
          <w:sz w:val="24"/>
        </w:rPr>
      </w:pPr>
      <w:r>
        <w:rPr>
          <w:rFonts w:hint="eastAsia"/>
          <w:sz w:val="24"/>
        </w:rPr>
        <w:t>（2）考查要求，20分。 A档18-20分，报告内容符合要求，能够准时提交； B档15-18分，报告内容符合要求，但提交存在延迟； C档10-15分，报告内容不合符要求，且提交延迟。</w:t>
      </w:r>
    </w:p>
    <w:p w14:paraId="7AC8EDAC">
      <w:pPr>
        <w:spacing w:line="480" w:lineRule="exact"/>
        <w:ind w:firstLine="360" w:firstLineChars="150"/>
        <w:rPr>
          <w:sz w:val="24"/>
        </w:rPr>
      </w:pPr>
      <w:r>
        <w:rPr>
          <w:rFonts w:hint="eastAsia"/>
          <w:sz w:val="24"/>
        </w:rPr>
        <w:t>（3）方法使用，30分。 A档25-30分，方法使用恰当，运用合理，能够发现有价值的竞争情报； B档20-25分，方法选择恰当，但未能有效回应需求； C档20分以下，方法选择存在错误。</w:t>
      </w:r>
    </w:p>
    <w:p w14:paraId="15C67602">
      <w:pPr>
        <w:spacing w:line="480" w:lineRule="exact"/>
        <w:ind w:firstLine="360" w:firstLineChars="150"/>
        <w:rPr>
          <w:sz w:val="24"/>
        </w:rPr>
      </w:pPr>
      <w:r>
        <w:rPr>
          <w:rFonts w:hint="eastAsia"/>
          <w:sz w:val="24"/>
        </w:rPr>
        <w:t>（4）分析深度，30分。 A档25-30分，分析思路清晰、内容充实有理，能够发现有价值的竞争情报； B档20-25分，分析思路较为清晰，能够发现有价值的竞争情报；C档20分以下，分析思路混乱，内容缺乏基础。</w:t>
      </w:r>
    </w:p>
    <w:p w14:paraId="1C7C5A2A">
      <w:pPr>
        <w:spacing w:line="480" w:lineRule="exact"/>
        <w:rPr>
          <w:sz w:val="24"/>
        </w:rPr>
      </w:pPr>
    </w:p>
    <w:p w14:paraId="43BF8579">
      <w:pPr>
        <w:spacing w:line="480" w:lineRule="exact"/>
        <w:rPr>
          <w:sz w:val="24"/>
        </w:rPr>
      </w:pPr>
    </w:p>
    <w:p w14:paraId="2091AC29">
      <w:pPr>
        <w:spacing w:line="480" w:lineRule="exact"/>
        <w:rPr>
          <w:sz w:val="24"/>
        </w:rPr>
      </w:pPr>
    </w:p>
    <w:p w14:paraId="257A6900">
      <w:pPr>
        <w:rPr>
          <w:b/>
          <w:bCs/>
          <w:i/>
          <w:iCs/>
          <w:sz w:val="24"/>
          <w:u w:val="single"/>
        </w:rPr>
      </w:pPr>
      <w:r>
        <w:rPr>
          <w:rFonts w:eastAsia="黑体"/>
          <w:b/>
          <w:bCs/>
          <w:sz w:val="28"/>
        </w:rPr>
        <w:t>注：</w:t>
      </w:r>
      <w:r>
        <w:rPr>
          <w:b/>
          <w:bCs/>
          <w:i/>
          <w:iCs/>
          <w:sz w:val="24"/>
          <w:u w:val="single"/>
        </w:rPr>
        <w:t>教学大纲一律使用A4纸，正文为小四号宋体。</w:t>
      </w:r>
    </w:p>
    <w:sectPr>
      <w:pgSz w:w="11906" w:h="16838"/>
      <w:pgMar w:top="1304" w:right="1304" w:bottom="1304" w:left="130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24x12 宋体">
    <w:altName w:val="微软雅黑"/>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834BA"/>
    <w:rsid w:val="00006E89"/>
    <w:rsid w:val="000371E5"/>
    <w:rsid w:val="00043DA3"/>
    <w:rsid w:val="00054BC4"/>
    <w:rsid w:val="00075BD1"/>
    <w:rsid w:val="000B640E"/>
    <w:rsid w:val="000D3224"/>
    <w:rsid w:val="000F15D2"/>
    <w:rsid w:val="00117B44"/>
    <w:rsid w:val="00144188"/>
    <w:rsid w:val="0015651F"/>
    <w:rsid w:val="00167B76"/>
    <w:rsid w:val="001A53EA"/>
    <w:rsid w:val="0028276D"/>
    <w:rsid w:val="002834BA"/>
    <w:rsid w:val="002A302A"/>
    <w:rsid w:val="002A583B"/>
    <w:rsid w:val="002B1B75"/>
    <w:rsid w:val="002B7E0B"/>
    <w:rsid w:val="002C2879"/>
    <w:rsid w:val="00320F57"/>
    <w:rsid w:val="003342ED"/>
    <w:rsid w:val="003516CE"/>
    <w:rsid w:val="00354D5C"/>
    <w:rsid w:val="003837B9"/>
    <w:rsid w:val="003A2100"/>
    <w:rsid w:val="003D592B"/>
    <w:rsid w:val="00413DFF"/>
    <w:rsid w:val="00420C25"/>
    <w:rsid w:val="00452A17"/>
    <w:rsid w:val="004A4F5F"/>
    <w:rsid w:val="004B3466"/>
    <w:rsid w:val="004B6CF4"/>
    <w:rsid w:val="00594992"/>
    <w:rsid w:val="005E2E32"/>
    <w:rsid w:val="005E33DC"/>
    <w:rsid w:val="00604255"/>
    <w:rsid w:val="00646D92"/>
    <w:rsid w:val="0066132F"/>
    <w:rsid w:val="006814E7"/>
    <w:rsid w:val="00694817"/>
    <w:rsid w:val="006A4A58"/>
    <w:rsid w:val="00742F63"/>
    <w:rsid w:val="00744793"/>
    <w:rsid w:val="00765B88"/>
    <w:rsid w:val="007A1F43"/>
    <w:rsid w:val="007B2B13"/>
    <w:rsid w:val="007E1199"/>
    <w:rsid w:val="00855334"/>
    <w:rsid w:val="00885DB5"/>
    <w:rsid w:val="008B698D"/>
    <w:rsid w:val="00906FDD"/>
    <w:rsid w:val="00913BF6"/>
    <w:rsid w:val="00935C96"/>
    <w:rsid w:val="0094066C"/>
    <w:rsid w:val="0094458D"/>
    <w:rsid w:val="00965738"/>
    <w:rsid w:val="00966BEE"/>
    <w:rsid w:val="00997B4C"/>
    <w:rsid w:val="009B48ED"/>
    <w:rsid w:val="009C32FA"/>
    <w:rsid w:val="009D56A7"/>
    <w:rsid w:val="009E47B0"/>
    <w:rsid w:val="009F198F"/>
    <w:rsid w:val="00A07E37"/>
    <w:rsid w:val="00A26A46"/>
    <w:rsid w:val="00A404FC"/>
    <w:rsid w:val="00A72906"/>
    <w:rsid w:val="00A7376F"/>
    <w:rsid w:val="00A9588E"/>
    <w:rsid w:val="00B009E4"/>
    <w:rsid w:val="00B133B3"/>
    <w:rsid w:val="00B33686"/>
    <w:rsid w:val="00B522BC"/>
    <w:rsid w:val="00B86156"/>
    <w:rsid w:val="00B90D74"/>
    <w:rsid w:val="00BB34AA"/>
    <w:rsid w:val="00BF0FE4"/>
    <w:rsid w:val="00C4641A"/>
    <w:rsid w:val="00C465B1"/>
    <w:rsid w:val="00CF7D70"/>
    <w:rsid w:val="00CF7DEE"/>
    <w:rsid w:val="00D21CDD"/>
    <w:rsid w:val="00D25433"/>
    <w:rsid w:val="00D51125"/>
    <w:rsid w:val="00D94A1A"/>
    <w:rsid w:val="00DA35EA"/>
    <w:rsid w:val="00DB5B36"/>
    <w:rsid w:val="00DC36C5"/>
    <w:rsid w:val="00E173C1"/>
    <w:rsid w:val="00E1766F"/>
    <w:rsid w:val="00E32042"/>
    <w:rsid w:val="00E469B1"/>
    <w:rsid w:val="00E603DC"/>
    <w:rsid w:val="00EE1523"/>
    <w:rsid w:val="00F03332"/>
    <w:rsid w:val="00F10C4D"/>
    <w:rsid w:val="00F579FE"/>
    <w:rsid w:val="00FF4022"/>
    <w:rsid w:val="09C74F1B"/>
    <w:rsid w:val="14B71D75"/>
    <w:rsid w:val="24FB2FB2"/>
    <w:rsid w:val="25A56A7E"/>
    <w:rsid w:val="2BCB42DC"/>
    <w:rsid w:val="540942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9">
    <w:name w:val="Default Paragraph Font"/>
    <w:semiHidden/>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2">
    <w:name w:val="Body Text Indent"/>
    <w:basedOn w:val="1"/>
    <w:link w:val="14"/>
    <w:qFormat/>
    <w:uiPriority w:val="0"/>
    <w:pPr>
      <w:ind w:firstLine="560" w:firstLineChars="200"/>
    </w:pPr>
    <w:rPr>
      <w:rFonts w:eastAsia="楷体_GB2312"/>
      <w:sz w:val="28"/>
      <w:lang w:val="zh-CN" w:eastAsia="zh-CN"/>
    </w:rPr>
  </w:style>
  <w:style w:type="paragraph" w:styleId="3">
    <w:name w:val="Date"/>
    <w:basedOn w:val="1"/>
    <w:next w:val="1"/>
    <w:uiPriority w:val="0"/>
    <w:pPr>
      <w:ind w:left="100" w:leftChars="2500"/>
    </w:pPr>
    <w:rPr>
      <w:rFonts w:eastAsia="楷体_GB2312"/>
      <w:b/>
      <w:bCs/>
      <w:sz w:val="36"/>
    </w:rPr>
  </w:style>
  <w:style w:type="paragraph" w:styleId="4">
    <w:name w:val="Balloon Text"/>
    <w:basedOn w:val="1"/>
    <w:link w:val="12"/>
    <w:qFormat/>
    <w:uiPriority w:val="0"/>
    <w:rPr>
      <w:sz w:val="18"/>
      <w:szCs w:val="18"/>
      <w:lang w:val="zh-CN" w:eastAsia="zh-CN"/>
    </w:rPr>
  </w:style>
  <w:style w:type="paragraph" w:styleId="5">
    <w:name w:val="footer"/>
    <w:basedOn w:val="1"/>
    <w:link w:val="11"/>
    <w:qFormat/>
    <w:uiPriority w:val="0"/>
    <w:pPr>
      <w:tabs>
        <w:tab w:val="center" w:pos="4153"/>
        <w:tab w:val="right" w:pos="8306"/>
      </w:tabs>
      <w:snapToGrid w:val="0"/>
      <w:jc w:val="left"/>
    </w:pPr>
    <w:rPr>
      <w:sz w:val="18"/>
      <w:szCs w:val="18"/>
      <w:lang w:val="zh-CN" w:eastAsia="zh-CN"/>
    </w:rPr>
  </w:style>
  <w:style w:type="paragraph" w:styleId="6">
    <w:name w:val="header"/>
    <w:basedOn w:val="1"/>
    <w:link w:val="10"/>
    <w:uiPriority w:val="0"/>
    <w:pPr>
      <w:pBdr>
        <w:bottom w:val="single" w:color="auto" w:sz="6" w:space="1"/>
      </w:pBdr>
      <w:tabs>
        <w:tab w:val="center" w:pos="4153"/>
        <w:tab w:val="right" w:pos="8306"/>
      </w:tabs>
      <w:snapToGrid w:val="0"/>
      <w:jc w:val="center"/>
    </w:pPr>
    <w:rPr>
      <w:sz w:val="18"/>
      <w:szCs w:val="18"/>
      <w:lang w:val="zh-CN" w:eastAsia="zh-CN"/>
    </w:rPr>
  </w:style>
  <w:style w:type="paragraph" w:styleId="7">
    <w:name w:val="Subtitle"/>
    <w:basedOn w:val="1"/>
    <w:qFormat/>
    <w:uiPriority w:val="0"/>
    <w:pPr>
      <w:spacing w:before="240" w:after="60" w:line="312" w:lineRule="auto"/>
      <w:jc w:val="center"/>
      <w:outlineLvl w:val="1"/>
    </w:pPr>
    <w:rPr>
      <w:rFonts w:ascii="Arial" w:hAnsi="Arial" w:cs="Arial"/>
      <w:b/>
      <w:bCs/>
      <w:kern w:val="28"/>
      <w:sz w:val="32"/>
      <w:szCs w:val="32"/>
    </w:rPr>
  </w:style>
  <w:style w:type="character" w:customStyle="1" w:styleId="10">
    <w:name w:val="页眉 Char"/>
    <w:link w:val="6"/>
    <w:qFormat/>
    <w:uiPriority w:val="0"/>
    <w:rPr>
      <w:kern w:val="2"/>
      <w:sz w:val="18"/>
      <w:szCs w:val="18"/>
    </w:rPr>
  </w:style>
  <w:style w:type="character" w:customStyle="1" w:styleId="11">
    <w:name w:val="页脚 Char"/>
    <w:link w:val="5"/>
    <w:qFormat/>
    <w:uiPriority w:val="0"/>
    <w:rPr>
      <w:kern w:val="2"/>
      <w:sz w:val="18"/>
      <w:szCs w:val="18"/>
    </w:rPr>
  </w:style>
  <w:style w:type="character" w:customStyle="1" w:styleId="12">
    <w:name w:val="批注框文本 Char"/>
    <w:link w:val="4"/>
    <w:uiPriority w:val="0"/>
    <w:rPr>
      <w:kern w:val="2"/>
      <w:sz w:val="18"/>
      <w:szCs w:val="18"/>
    </w:rPr>
  </w:style>
  <w:style w:type="paragraph" w:customStyle="1" w:styleId="13">
    <w:name w:val="Revision"/>
    <w:unhideWhenUsed/>
    <w:uiPriority w:val="99"/>
    <w:rPr>
      <w:rFonts w:ascii="Times New Roman" w:hAnsi="Times New Roman" w:eastAsia="宋体" w:cs="Times New Roman"/>
      <w:kern w:val="2"/>
      <w:sz w:val="21"/>
      <w:szCs w:val="24"/>
      <w:lang w:val="en-US" w:eastAsia="zh-CN" w:bidi="ar-SA"/>
    </w:rPr>
  </w:style>
  <w:style w:type="character" w:customStyle="1" w:styleId="14">
    <w:name w:val="正文文本缩进 字符"/>
    <w:link w:val="2"/>
    <w:qFormat/>
    <w:uiPriority w:val="0"/>
    <w:rPr>
      <w:rFonts w:eastAsia="楷体_GB2312"/>
      <w:kern w:val="2"/>
      <w:sz w:val="28"/>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zsu</Company>
  <Pages>8</Pages>
  <Words>111</Words>
  <Characters>639</Characters>
  <Lines>5</Lines>
  <Paragraphs>1</Paragraphs>
  <TotalTime>1</TotalTime>
  <ScaleCrop>false</ScaleCrop>
  <LinksUpToDate>false</LinksUpToDate>
  <CharactersWithSpaces>749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2018-09-29T07:17:00Z</dcterms:created>
  <dc:creator>li</dc:creator>
  <cp:lastModifiedBy>Vante.</cp:lastModifiedBy>
  <cp:lastPrinted>2018-06-25T20:13:00Z</cp:lastPrinted>
  <dcterms:modified xsi:type="dcterms:W3CDTF">2026-04-12T06:23:38Z</dcterms:modified>
  <dc:title>附件：教学大纲的基本格式和内容</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621D9E9390734DF59DFBB330BA272A82_13</vt:lpwstr>
  </property>
</Properties>
</file>